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crx20260630_10q.htm"/>
      <w:bookmarkStart w:id="1" w:name="ksacrx20260630_10q"/>
      <w:bookmarkEnd w:id="0"/>
      <w:bookmarkEnd w:id="1"/>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 xml:space="preserve">UNITED STATES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 xml:space="preserve">FORM 10-Q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230"/>
        <w:gridCol w:w="9965"/>
      </w:tblGrid>
      <w:tr>
        <w:trPr/>
        <w:tc>
          <w:tcPr>
            <w:tcW w:w="230" w:type="dxa"/>
            <w:tcBorders/>
            <w:vAlign w:val="center"/>
          </w:tcPr>
          <w:p>
            <w:pPr>
              <w:pStyle w:val="TableContents"/>
              <w:bidi w:val="0"/>
              <w:spacing w:before="0" w:after="0"/>
              <w:ind w:left="0" w:right="0" w:hanging="0"/>
              <w:jc w:val="left"/>
              <w:rPr/>
            </w:pPr>
            <w:r>
              <w:rPr/>
              <w:t>☒</w:t>
            </w:r>
          </w:p>
        </w:tc>
        <w:tc>
          <w:tcPr>
            <w:tcW w:w="9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QUARTERLY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230"/>
        <w:gridCol w:w="9950"/>
      </w:tblGrid>
      <w:tr>
        <w:trPr/>
        <w:tc>
          <w:tcPr>
            <w:tcW w:w="230" w:type="dxa"/>
            <w:tcBorders/>
            <w:vAlign w:val="center"/>
          </w:tcPr>
          <w:p>
            <w:pPr>
              <w:pStyle w:val="TableContents"/>
              <w:bidi w:val="0"/>
              <w:spacing w:before="0" w:after="0"/>
              <w:ind w:left="0" w:right="0" w:hanging="0"/>
              <w:jc w:val="left"/>
              <w:rPr/>
            </w:pPr>
            <w:r>
              <w:rPr/>
              <w:t>☐</w:t>
            </w:r>
          </w:p>
        </w:tc>
        <w:tc>
          <w:tcPr>
            <w:tcW w:w="99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TRANSITION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to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001-35068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TALPHERA,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645"/>
        <w:gridCol w:w="1550"/>
      </w:tblGrid>
      <w:tr>
        <w:trPr/>
        <w:tc>
          <w:tcPr>
            <w:tcW w:w="264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41-2193603</w:t>
            </w:r>
          </w:p>
        </w:tc>
      </w:tr>
      <w:tr>
        <w:trPr/>
        <w:tc>
          <w:tcPr>
            <w:tcW w:w="26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 of</w:t>
            </w:r>
            <w:r>
              <w:rPr>
                <w:rFonts w:ascii="Times New Roman" w:hAnsi="Times New Roman"/>
                <w:caps w:val="false"/>
                <w:smallCaps w:val="false"/>
                <w:sz w:val="20"/>
              </w:rPr>
              <w:br/>
            </w: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1850 Gateway Drive, Suite 175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Mateo, CA 94404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(650) 216-3500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(Address, including zip code, and telephone number, including area code, of registrant</w:t>
      </w:r>
      <w:r>
        <w:rPr>
          <w:rFonts w:ascii="Times New Roman" w:hAnsi="Times New Roman"/>
          <w:caps w:val="false"/>
          <w:smallCaps w:val="false"/>
          <w:sz w:val="20"/>
        </w:rPr>
        <w:t>’</w:t>
      </w:r>
      <w:r>
        <w:rPr>
          <w:rFonts w:ascii="Times New Roman" w:hAnsi="Times New Roman"/>
          <w:b/>
          <w:caps w:val="false"/>
          <w:smallCaps w:val="false"/>
          <w:sz w:val="20"/>
        </w:rPr>
        <w:t xml:space="preserve">s principal executive offices)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2825"/>
        <w:gridCol w:w="1580"/>
        <w:gridCol w:w="3950"/>
      </w:tblGrid>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58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9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tc>
      </w:tr>
      <w:tr>
        <w:trPr/>
        <w:tc>
          <w:tcPr>
            <w:tcW w:w="282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$0.001 par value</w:t>
            </w:r>
          </w:p>
        </w:tc>
        <w:tc>
          <w:tcPr>
            <w:tcW w:w="15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TLPH</w:t>
            </w:r>
          </w:p>
        </w:tc>
        <w:tc>
          <w:tcPr>
            <w:tcW w:w="39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2225"/>
        <w:gridCol w:w="230"/>
        <w:gridCol w:w="2225"/>
        <w:gridCol w:w="23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283"/>
              <w:jc w:val="left"/>
              <w:rPr/>
            </w:pPr>
            <w:r>
              <w:rPr/>
              <w:t>☐</w:t>
            </w:r>
          </w:p>
        </w:tc>
      </w:tr>
      <w:tr>
        <w:trPr/>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283"/>
              <w:jc w:val="left"/>
              <w:rPr/>
            </w:pPr>
            <w:r>
              <w:rPr/>
              <w:t>☒</w:t>
            </w:r>
          </w:p>
        </w:tc>
      </w:tr>
      <w:tr>
        <w:trPr/>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Exchange Act Rule 12b-2)    Yes  ☐    No  ☒</w:t>
      </w:r>
    </w:p>
    <w:p>
      <w:pPr>
        <w:pStyle w:val="TextBody"/>
        <w:bidi w:val="0"/>
        <w:spacing w:before="0" w:after="283"/>
        <w:jc w:val="left"/>
        <w:rPr/>
      </w:pPr>
      <w:r>
        <w:rPr/>
        <w:t> </w:t>
      </w:r>
    </w:p>
    <w:p>
      <w:pPr>
        <w:pStyle w:val="TextBody"/>
        <w:bidi w:val="0"/>
        <w:spacing w:before="0" w:after="0"/>
        <w:ind w:left="0" w:right="0" w:firstLine="660"/>
        <w:jc w:val="left"/>
        <w:rPr>
          <w:rFonts w:ascii="Times New Roman" w:hAnsi="Times New Roman"/>
          <w:caps w:val="false"/>
          <w:smallCaps w:val="false"/>
          <w:sz w:val="20"/>
        </w:rPr>
      </w:pPr>
      <w:r>
        <w:rPr>
          <w:rFonts w:ascii="Times New Roman" w:hAnsi="Times New Roman"/>
          <w:caps w:val="false"/>
          <w:smallCaps w:val="false"/>
          <w:sz w:val="20"/>
        </w:rPr>
        <w:t>As of August 5, 2026, the number of outstanding shares of the registrant’s common stock was 51,905,796.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TALPHERA,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QUARTERLY REPORT ON FORM 10-Q FOR THE QUARTER ENDED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710"/>
        <w:gridCol w:w="8995"/>
        <w:gridCol w:w="440"/>
      </w:tblGrid>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765" w:type="dxa"/>
            <w:gridSpan w:val="3"/>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 xml:space="preserve">I. FINANCIAL INFORMATION </w:t>
            </w:r>
            <w:r>
              <w:rPr>
                <w:rFonts w:ascii="Times New Roman" w:hAnsi="Times New Roman"/>
                <w:caps w:val="false"/>
                <w:smallCaps w:val="false"/>
                <w:sz w:val="20"/>
              </w:rPr>
              <w:t>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Statements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Balance Sheets as of June 30, 2026 and December 31, 2025 (unaudited)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Operations for the three and six months ended June 30, 2026 and 2025 (unaudited)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Stockholders’ Equity for the three and six months ended June 30, 2026 and 2025 (unaudited)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Cash Flows for the six months ended June 30, 2026 and 2025 (unaudited)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Condensed Consolidated Financial Statements (unaudited)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Quantitative and Qualitative Disclosures About Market Risk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Controls and Procedures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r>
        <w:trPr/>
        <w:tc>
          <w:tcPr>
            <w:tcW w:w="9765" w:type="dxa"/>
            <w:gridSpan w:val="3"/>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9765" w:type="dxa"/>
            <w:gridSpan w:val="3"/>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 xml:space="preserve">II. OTHER INFORMATION </w:t>
            </w:r>
            <w:r>
              <w:rPr>
                <w:rFonts w:ascii="Times New Roman" w:hAnsi="Times New Roman"/>
                <w:caps w:val="false"/>
                <w:smallCaps w:val="false"/>
                <w:sz w:val="20"/>
              </w:rPr>
              <w:t>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Unregistered Sales of Equity Securities and Use of Proceeds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Defaults Upon Senior Securities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Mine Safety Disclosures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Information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99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8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         </w:t>
            </w:r>
          </w:p>
        </w:tc>
        <w:tc>
          <w:tcPr>
            <w:tcW w:w="4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the context indicates otherwise, the terms “Talphera,” “we,” “us” and “our” refer to Talphera, Inc., and its consolidated subsidiary. “Niyad” and “Fedsyra” are trademarks, and “Zalviso” are registered trademarks, all owned by Talphera, Inc. This Quarterly Report also contains trademarks and trade names that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Quarterly Report on Form 10-Q, or Form 10-Q, contains “forward-looking statements” within the meaning of Section 21E of the Securities Exchange Act of 1934, as amended, or the Exchange Act, which are subject to the “safe harbor” created by that section. The forward-looking statements in this Form 10-Q are contained principally under “Part I. Financial Information - Item 2. Management’s Discussion and Analysis of Financial Condition and Results of Operations” and “Part II. Other Information - Item 1A. Risk Factors”.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Form 10-Q, we caution you that these statements are based on a combination of facts and factors currently known by us and our projections of the future, about which we cannot be certain. Many important factors affect our ability to achieve our objectives, including:</w:t>
      </w:r>
    </w:p>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0"/>
        <w:gridCol w:w="110"/>
        <w:gridCol w:w="70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additional required financing and to continue as a going concern;</w:t>
            </w:r>
          </w:p>
        </w:tc>
      </w:tr>
    </w:tbl>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60"/>
        <w:gridCol w:w="110"/>
        <w:gridCol w:w="54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manage our operating costs and reduce our cash burn;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accuracy of our estimates regarding the sufficiency of our cash resources, future revenues, expenses, and capital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60"/>
        <w:gridCol w:w="110"/>
        <w:gridCol w:w="70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historical performance and high volatility in the market price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macroeconomic uncertainties, including tariffs, inflationary pressures, domestic and global supply chain disruptions, labor shortages, significant volatility in global markets, and recession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conduct ourselves, or through a contract research organization, clinical trials in a timely and effective manner to advance the development of our product candidates, including our lead nafamostat developmental product candidate, Niyad®;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file for and obtain regulatory approval for, and then successfully launch and commercialize our developmental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size and growth potential of the potential markets for our developmental product candidates in the United States and in other jurisdictions, and our ability to serve those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estimates of the existence of, and commercial potential for, markets for our developmental product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develop sales and marketing capabilities in a timely fashion, whether alone through recruiting qualified employees, by engaging a contract sales organization, or with potential future collaborators;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successfully establishing and maintaining commercial manufacturing and supply chain relationships with domestic and global third-party service providers, including single sources of supply for Niyad active pharmaceutical ingredients and finished goods located outside the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manage effectively, and the impact of any costs associated with, potential governmental investigations, inquiries, regulatory actions or lawsuits that may be, or have been, brought against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adequate government or third-party payer reimbursement for our developmental product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gain access to formularies and establish and then maintain effective relationships with pharmaceutical benefit managers and/or group purchasing organizations for our developmental product candidates, if approved;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995" w:type="dxa"/>
        <w:jc w:val="left"/>
        <w:tblInd w:w="0" w:type="dxa"/>
        <w:tblLayout w:type="fixed"/>
        <w:tblCellMar>
          <w:top w:w="0" w:type="dxa"/>
          <w:left w:w="0" w:type="dxa"/>
          <w:bottom w:w="0" w:type="dxa"/>
          <w:right w:w="0" w:type="dxa"/>
        </w:tblCellMar>
      </w:tblPr>
      <w:tblGrid>
        <w:gridCol w:w="60"/>
        <w:gridCol w:w="110"/>
        <w:gridCol w:w="88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attract additional collaborators with development, regulatory and commercialization expertise;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identify and secure potential strategic partners to develop, secure regulatory approval for and then commercialize our developmental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retain our key commercial, scientific, engineering, medical or management personnel and hire new personnel as needed;</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110"/>
        <w:gridCol w:w="8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existing and future legislation and other regulatory developments in the United States and foreign countries;</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110"/>
        <w:gridCol w:w="97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performance of our third-party suppliers and manufacturers, including any supply chain impacts or work limitations;</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10"/>
        <w:gridCol w:w="55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of competing therapies that are or become available; and</w:t>
            </w:r>
          </w:p>
        </w:tc>
      </w:tr>
    </w:tbl>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60"/>
        <w:gridCol w:w="110"/>
        <w:gridCol w:w="94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and maintain intellectual property protection for our approved products and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you should refer to “Part II. Other Information - Item 1A. Risk Factors” in this Form 10-Q for a discussion of these and other important factors that may cause our actual results to differ materially from those expressed or implied by our forward-looking statements. As a result of these factors, we cannot assure you that the forward-looking statements in this Form 10-Q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Also, forward-looking statements represent our estimates and assumptions only as of the date of this Form 10-Q. We undertake no obligation to publicly update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PART I. FINANCIAL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 Financial Statements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Talphera,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98"/>
        <w:gridCol w:w="60"/>
        <w:gridCol w:w="140"/>
        <w:gridCol w:w="850"/>
        <w:gridCol w:w="80"/>
        <w:gridCol w:w="60"/>
        <w:gridCol w:w="175"/>
        <w:gridCol w:w="1059"/>
        <w:gridCol w:w="83"/>
      </w:tblGrid>
      <w:tr>
        <w:trPr/>
        <w:tc>
          <w:tcPr>
            <w:tcW w:w="7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2025(1)</w:t>
            </w:r>
          </w:p>
        </w:tc>
        <w:tc>
          <w:tcPr>
            <w:tcW w:w="83" w:type="dxa"/>
            <w:tcBorders/>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14,487</w:t>
            </w:r>
          </w:p>
        </w:tc>
        <w:tc>
          <w:tcPr>
            <w:tcW w:w="83" w:type="dxa"/>
            <w:tcBorders/>
            <w:shd w:fill="FFFFFF" w:val="clear"/>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20,900</w:t>
            </w:r>
          </w:p>
        </w:tc>
        <w:tc>
          <w:tcPr>
            <w:tcW w:w="83" w:type="dxa"/>
            <w:tcBorders/>
            <w:shd w:fill="FFFFFF" w:val="clear"/>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In-process research and development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8,819</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29,719</w:t>
            </w:r>
          </w:p>
        </w:tc>
        <w:tc>
          <w:tcPr>
            <w:tcW w:w="83" w:type="dxa"/>
            <w:tcBorders/>
            <w:shd w:fill="FFFFFF" w:val="clear"/>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3" w:type="dxa"/>
            <w:tcBorders/>
            <w:shd w:fill="FFFFFF" w:val="clear"/>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2,615</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of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3" w:type="dxa"/>
            <w:tcBorders/>
            <w:shd w:fill="FFFFFF" w:val="clear"/>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3,809</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83" w:type="dxa"/>
            <w:tcBorders/>
            <w:shd w:fill="FFFFFF" w:val="clear"/>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Liability related to the sale of future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6,499</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12,684</w:t>
            </w:r>
          </w:p>
        </w:tc>
        <w:tc>
          <w:tcPr>
            <w:tcW w:w="83" w:type="dxa"/>
            <w:tcBorders/>
            <w:shd w:fill="FFFFFF" w:val="clear"/>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sz w:val="4"/>
                <w:szCs w:val="4"/>
              </w:rPr>
            </w:pPr>
            <w:r>
              <w:rPr>
                <w:sz w:val="4"/>
                <w:szCs w:val="4"/>
              </w:rPr>
            </w:r>
          </w:p>
        </w:tc>
        <w:tc>
          <w:tcPr>
            <w:tcW w:w="83" w:type="dxa"/>
            <w:tcBorders/>
            <w:shd w:fill="FFFFFF" w:val="clear"/>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value—200,000,000 shares authorized as of June 30, 2026 and December 31, 2025; 51,905,796 and 49,328,097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3" w:type="dxa"/>
            <w:tcBorders/>
            <w:shd w:fill="FFFFFF" w:val="clear"/>
            <w:vAlign w:val="center"/>
          </w:tcPr>
          <w:p>
            <w:pPr>
              <w:pStyle w:val="TableContents"/>
              <w:bidi w:val="0"/>
              <w:spacing w:before="0" w:after="283"/>
              <w:jc w:val="left"/>
              <w:rPr/>
            </w:pPr>
            <w:r>
              <w:rPr/>
              <w:t> </w:t>
            </w:r>
          </w:p>
        </w:tc>
      </w:tr>
      <w:tr>
        <w:trPr/>
        <w:tc>
          <w:tcPr>
            <w:tcW w:w="7698"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488,506</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(478,388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(471,520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98"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17,035</w:t>
            </w:r>
          </w:p>
        </w:tc>
        <w:tc>
          <w:tcPr>
            <w:tcW w:w="83" w:type="dxa"/>
            <w:tcBorders/>
            <w:shd w:fill="CCEEFF" w:val="clear"/>
            <w:vAlign w:val="center"/>
          </w:tcPr>
          <w:p>
            <w:pPr>
              <w:pStyle w:val="TableContents"/>
              <w:bidi w:val="0"/>
              <w:spacing w:before="0" w:after="283"/>
              <w:jc w:val="left"/>
              <w:rPr/>
            </w:pPr>
            <w:r>
              <w:rPr/>
              <w:t> </w:t>
            </w:r>
          </w:p>
        </w:tc>
      </w:tr>
      <w:tr>
        <w:trPr/>
        <w:tc>
          <w:tcPr>
            <w:tcW w:w="76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29,719</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condensed consolidated balance sheet as of December 31, 2025 has been derived from the audited financial statements as of that date included in the Company’s Annual Report on Form 10-K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Talphera,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45"/>
        <w:gridCol w:w="60"/>
        <w:gridCol w:w="125"/>
        <w:gridCol w:w="950"/>
        <w:gridCol w:w="80"/>
        <w:gridCol w:w="60"/>
        <w:gridCol w:w="125"/>
        <w:gridCol w:w="950"/>
        <w:gridCol w:w="80"/>
        <w:gridCol w:w="60"/>
        <w:gridCol w:w="125"/>
        <w:gridCol w:w="950"/>
        <w:gridCol w:w="80"/>
        <w:gridCol w:w="60"/>
        <w:gridCol w:w="125"/>
        <w:gridCol w:w="950"/>
        <w:gridCol w:w="80"/>
      </w:tblGrid>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8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2,669</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3,967</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6,636</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(3,693</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16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16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16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16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gain on 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16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16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16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16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from discontinued operations – See Note 3</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16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attributable to stockholders: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continuing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discontinued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16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computing net loss per share of common stock, basic and diluted – See Note 9</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75,526,900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34,530,377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72,690,007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30,422,117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Talphera,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Stockholders’ 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96"/>
        <w:gridCol w:w="60"/>
        <w:gridCol w:w="60"/>
        <w:gridCol w:w="950"/>
        <w:gridCol w:w="60"/>
        <w:gridCol w:w="60"/>
        <w:gridCol w:w="230"/>
        <w:gridCol w:w="482"/>
        <w:gridCol w:w="60"/>
        <w:gridCol w:w="60"/>
        <w:gridCol w:w="140"/>
        <w:gridCol w:w="780"/>
        <w:gridCol w:w="80"/>
        <w:gridCol w:w="60"/>
        <w:gridCol w:w="160"/>
        <w:gridCol w:w="970"/>
        <w:gridCol w:w="80"/>
        <w:gridCol w:w="60"/>
        <w:gridCol w:w="205"/>
        <w:gridCol w:w="970"/>
        <w:gridCol w:w="82"/>
      </w:tblGrid>
      <w:tr>
        <w:trPr/>
        <w:tc>
          <w:tcPr>
            <w:tcW w:w="4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2"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Additional</w:t>
            </w:r>
            <w:r>
              <w:rPr>
                <w:rFonts w:ascii="Times New Roman;Times;serif" w:hAnsi="Times New Roman;Times;serif"/>
                <w:sz w:val="20"/>
              </w:rPr>
              <w:br/>
            </w:r>
            <w:r>
              <w:rPr>
                <w:rFonts w:ascii="Times New Roman;Times;serif" w:hAnsi="Times New Roman;Times;serif"/>
                <w:b/>
                <w:sz w:val="20"/>
              </w:rPr>
              <w:t>Paid-in</w:t>
            </w:r>
            <w:r>
              <w:rPr>
                <w:rFonts w:ascii="Times New Roman;Times;serif" w:hAnsi="Times New Roman;Times;serif"/>
                <w:sz w:val="20"/>
              </w:rPr>
              <w:br/>
            </w: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Accumulated</w:t>
            </w:r>
            <w:r>
              <w:rPr>
                <w:rFonts w:ascii="Times New Roman;Times;serif" w:hAnsi="Times New Roman;Times;serif"/>
                <w:sz w:val="20"/>
              </w:rPr>
              <w:br/>
            </w: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br/>
            </w:r>
            <w:r>
              <w:rPr>
                <w:rFonts w:ascii="Times New Roman;Times;serif" w:hAnsi="Times New Roman;Times;serif"/>
                <w:b/>
                <w:sz w:val="20"/>
              </w:rPr>
              <w:t>Stockholders’</w:t>
            </w:r>
            <w:r>
              <w:rPr>
                <w:rFonts w:ascii="Times New Roman;Times;serif" w:hAnsi="Times New Roman;Times;serif"/>
                <w:sz w:val="20"/>
              </w:rPr>
              <w:br/>
            </w:r>
            <w:r>
              <w:rPr>
                <w:rFonts w:ascii="Times New Roman;Times;serif" w:hAnsi="Times New Roman;Times;serif"/>
                <w:b/>
                <w:sz w:val="20"/>
              </w:rPr>
              <w:t>Equity</w:t>
            </w:r>
          </w:p>
        </w:tc>
        <w:tc>
          <w:tcPr>
            <w:tcW w:w="82" w:type="dxa"/>
            <w:tcBorders/>
            <w:vAlign w:val="center"/>
          </w:tcPr>
          <w:p>
            <w:pPr>
              <w:pStyle w:val="TableContents"/>
              <w:bidi w:val="0"/>
              <w:spacing w:before="0" w:after="283"/>
              <w:jc w:val="left"/>
              <w:rPr/>
            </w:pPr>
            <w:r>
              <w:rPr/>
              <w:t> </w:t>
            </w:r>
          </w:p>
        </w:tc>
      </w:tr>
      <w:tr>
        <w:trPr/>
        <w:tc>
          <w:tcPr>
            <w:tcW w:w="4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49,328,097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230" w:type="dxa"/>
            <w:tcBorders/>
            <w:shd w:fill="CCEEFF" w:val="cle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4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60" w:type="dxa"/>
            <w:tcBorders/>
            <w:shd w:fill="CCEEFF" w:val="cle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220" w:right="0" w:hanging="0"/>
              <w:jc w:val="left"/>
              <w:rPr/>
            </w:pPr>
            <w:r>
              <w:rPr/>
              <w:t> </w:t>
            </w:r>
          </w:p>
        </w:tc>
        <w:tc>
          <w:tcPr>
            <w:tcW w:w="205" w:type="dxa"/>
            <w:tcBorders/>
            <w:shd w:fill="CCEEFF" w:val="clear"/>
            <w:vAlign w:val="center"/>
          </w:tcPr>
          <w:p>
            <w:pPr>
              <w:pStyle w:val="TableContents"/>
              <w:bidi w:val="0"/>
              <w:spacing w:before="0" w:after="283"/>
              <w:ind w:left="2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17,035</w:t>
            </w:r>
          </w:p>
        </w:tc>
        <w:tc>
          <w:tcPr>
            <w:tcW w:w="82" w:type="dxa"/>
            <w:tcBorders/>
            <w:shd w:fill="CCEEFF" w:val="clear"/>
            <w:vAlign w:val="center"/>
          </w:tcPr>
          <w:p>
            <w:pPr>
              <w:pStyle w:val="TableContents"/>
              <w:bidi w:val="0"/>
              <w:spacing w:before="0" w:after="283"/>
              <w:jc w:val="left"/>
              <w:rPr/>
            </w:pPr>
            <w:r>
              <w:rPr/>
              <w:t> </w:t>
            </w:r>
          </w:p>
        </w:tc>
      </w:tr>
      <w:tr>
        <w:trPr/>
        <w:tc>
          <w:tcPr>
            <w:tcW w:w="45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8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22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2" w:type="dxa"/>
            <w:tcBorders/>
            <w:shd w:fill="FFFFFF" w:val="clear"/>
            <w:vAlign w:val="center"/>
          </w:tcPr>
          <w:p>
            <w:pPr>
              <w:pStyle w:val="TableContents"/>
              <w:bidi w:val="0"/>
              <w:spacing w:before="0" w:after="283"/>
              <w:jc w:val="left"/>
              <w:rPr/>
            </w:pPr>
            <w:r>
              <w:rPr/>
              <w:t> </w:t>
            </w:r>
          </w:p>
        </w:tc>
      </w:tr>
      <w:tr>
        <w:trPr/>
        <w:tc>
          <w:tcPr>
            <w:tcW w:w="459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vesting of restricted stock units, net of shares withheld for employee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22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issuance of common stock and pre-funded warrants in connection with private placement offerings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160" w:right="0" w:hanging="0"/>
              <w:jc w:val="left"/>
              <w:rPr/>
            </w:pPr>
            <w:r>
              <w:rPr/>
              <w:t> </w:t>
            </w:r>
          </w:p>
        </w:tc>
        <w:tc>
          <w:tcPr>
            <w:tcW w:w="4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22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3,780</w:t>
            </w:r>
          </w:p>
        </w:tc>
        <w:tc>
          <w:tcPr>
            <w:tcW w:w="82" w:type="dxa"/>
            <w:tcBorders/>
            <w:shd w:fill="FFFFFF" w:val="clear"/>
            <w:vAlign w:val="center"/>
          </w:tcPr>
          <w:p>
            <w:pPr>
              <w:pStyle w:val="TableContents"/>
              <w:bidi w:val="0"/>
              <w:spacing w:before="0" w:after="283"/>
              <w:jc w:val="left"/>
              <w:rPr/>
            </w:pPr>
            <w:r>
              <w:rPr/>
              <w:t> </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ESPP purchase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22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2" w:type="dxa"/>
            <w:tcBorders/>
            <w:shd w:fill="CCEEFF" w:val="clear"/>
            <w:vAlign w:val="center"/>
          </w:tcPr>
          <w:p>
            <w:pPr>
              <w:pStyle w:val="TableContents"/>
              <w:bidi w:val="0"/>
              <w:spacing w:before="0" w:after="283"/>
              <w:jc w:val="left"/>
              <w:rPr/>
            </w:pPr>
            <w:r>
              <w:rPr/>
              <w:t> </w:t>
            </w:r>
          </w:p>
        </w:tc>
      </w:tr>
      <w:tr>
        <w:trPr/>
        <w:tc>
          <w:tcPr>
            <w:tcW w:w="45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12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22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50,049,824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4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(474,076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22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2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18,478</w:t>
            </w:r>
          </w:p>
        </w:tc>
        <w:tc>
          <w:tcPr>
            <w:tcW w:w="82" w:type="dxa"/>
            <w:tcBorders/>
            <w:shd w:fill="CCEEFF" w:val="clear"/>
            <w:vAlign w:val="center"/>
          </w:tcPr>
          <w:p>
            <w:pPr>
              <w:pStyle w:val="TableContents"/>
              <w:bidi w:val="0"/>
              <w:spacing w:before="0" w:after="283"/>
              <w:jc w:val="left"/>
              <w:rPr/>
            </w:pPr>
            <w:r>
              <w:rPr/>
              <w:t> </w:t>
            </w:r>
          </w:p>
        </w:tc>
      </w:tr>
      <w:tr>
        <w:trPr/>
        <w:tc>
          <w:tcPr>
            <w:tcW w:w="45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8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22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2" w:type="dxa"/>
            <w:tcBorders/>
            <w:shd w:fill="FFFFFF" w:val="clear"/>
            <w:vAlign w:val="center"/>
          </w:tcPr>
          <w:p>
            <w:pPr>
              <w:pStyle w:val="TableContents"/>
              <w:bidi w:val="0"/>
              <w:spacing w:before="0" w:after="283"/>
              <w:jc w:val="left"/>
              <w:rPr/>
            </w:pPr>
            <w:r>
              <w:rPr/>
              <w:t> </w:t>
            </w:r>
          </w:p>
        </w:tc>
      </w:tr>
      <w:tr>
        <w:trPr/>
        <w:tc>
          <w:tcPr>
            <w:tcW w:w="459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22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issuance of common stock and pre-funded warrants in connection with private placement offerings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8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22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2" w:type="dxa"/>
            <w:tcBorders/>
            <w:shd w:fill="FFFFFF" w:val="clear"/>
            <w:vAlign w:val="center"/>
          </w:tcPr>
          <w:p>
            <w:pPr>
              <w:pStyle w:val="TableContents"/>
              <w:bidi w:val="0"/>
              <w:spacing w:before="0" w:after="283"/>
              <w:jc w:val="left"/>
              <w:rPr/>
            </w:pPr>
            <w:r>
              <w:rPr/>
              <w:t> </w:t>
            </w:r>
          </w:p>
        </w:tc>
      </w:tr>
      <w:tr>
        <w:trPr/>
        <w:tc>
          <w:tcPr>
            <w:tcW w:w="459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cashless 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160" w:right="0" w:hanging="0"/>
              <w:jc w:val="left"/>
              <w:rPr/>
            </w:pPr>
            <w:r>
              <w:rPr/>
              <w:t> </w:t>
            </w:r>
          </w:p>
        </w:tc>
        <w:tc>
          <w:tcPr>
            <w:tcW w:w="4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45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12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22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51,905,796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4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(478,388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22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2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14,406</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94"/>
        <w:gridCol w:w="60"/>
        <w:gridCol w:w="60"/>
        <w:gridCol w:w="950"/>
        <w:gridCol w:w="60"/>
        <w:gridCol w:w="60"/>
        <w:gridCol w:w="231"/>
        <w:gridCol w:w="483"/>
        <w:gridCol w:w="60"/>
        <w:gridCol w:w="60"/>
        <w:gridCol w:w="140"/>
        <w:gridCol w:w="780"/>
        <w:gridCol w:w="80"/>
        <w:gridCol w:w="60"/>
        <w:gridCol w:w="160"/>
        <w:gridCol w:w="970"/>
        <w:gridCol w:w="80"/>
        <w:gridCol w:w="60"/>
        <w:gridCol w:w="219"/>
        <w:gridCol w:w="956"/>
        <w:gridCol w:w="82"/>
      </w:tblGrid>
      <w:tr>
        <w:trPr/>
        <w:tc>
          <w:tcPr>
            <w:tcW w:w="4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4"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b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Stockholders’</w:t>
              <w:br/>
              <w:t>Equity</w:t>
            </w:r>
          </w:p>
        </w:tc>
        <w:tc>
          <w:tcPr>
            <w:tcW w:w="82" w:type="dxa"/>
            <w:tcBorders/>
            <w:vAlign w:val="center"/>
          </w:tcPr>
          <w:p>
            <w:pPr>
              <w:pStyle w:val="TableContents"/>
              <w:bidi w:val="0"/>
              <w:spacing w:before="0" w:after="283"/>
              <w:jc w:val="left"/>
              <w:rPr/>
            </w:pPr>
            <w:r>
              <w:rPr/>
              <w:t> </w:t>
            </w:r>
          </w:p>
        </w:tc>
      </w:tr>
      <w:tr>
        <w:trPr/>
        <w:tc>
          <w:tcPr>
            <w:tcW w:w="4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45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17,029,469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231" w:type="dxa"/>
            <w:tcBorders/>
            <w:shd w:fill="CCEEFF" w:val="cle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60" w:type="dxa"/>
            <w:tcBorders/>
            <w:shd w:fill="CCEEFF" w:val="cle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(457,230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220" w:right="0" w:hanging="0"/>
              <w:jc w:val="left"/>
              <w:rPr/>
            </w:pPr>
            <w:r>
              <w:rPr/>
              <w:t> </w:t>
            </w:r>
          </w:p>
        </w:tc>
        <w:tc>
          <w:tcPr>
            <w:tcW w:w="219" w:type="dxa"/>
            <w:tcBorders/>
            <w:shd w:fill="CCEEFF" w:val="clear"/>
            <w:vAlign w:val="center"/>
          </w:tcPr>
          <w:p>
            <w:pPr>
              <w:pStyle w:val="TableContents"/>
              <w:bidi w:val="0"/>
              <w:spacing w:before="0" w:after="283"/>
              <w:ind w:left="22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8,001</w:t>
            </w:r>
          </w:p>
        </w:tc>
        <w:tc>
          <w:tcPr>
            <w:tcW w:w="82" w:type="dxa"/>
            <w:tcBorders/>
            <w:shd w:fill="CCEEFF" w:val="clear"/>
            <w:vAlign w:val="center"/>
          </w:tcPr>
          <w:p>
            <w:pPr>
              <w:pStyle w:val="TableContents"/>
              <w:bidi w:val="0"/>
              <w:spacing w:before="0" w:after="283"/>
              <w:jc w:val="left"/>
              <w:rPr/>
            </w:pPr>
            <w:r>
              <w:rPr/>
              <w:t> </w:t>
            </w:r>
          </w:p>
        </w:tc>
      </w:tr>
      <w:tr>
        <w:trPr/>
        <w:tc>
          <w:tcPr>
            <w:tcW w:w="45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22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2" w:type="dxa"/>
            <w:tcBorders/>
            <w:shd w:fill="FFFFFF" w:val="clear"/>
            <w:vAlign w:val="center"/>
          </w:tcPr>
          <w:p>
            <w:pPr>
              <w:pStyle w:val="TableContents"/>
              <w:bidi w:val="0"/>
              <w:spacing w:before="0" w:after="283"/>
              <w:jc w:val="left"/>
              <w:rPr/>
            </w:pPr>
            <w:r>
              <w:rPr/>
              <w:t> </w:t>
            </w:r>
          </w:p>
        </w:tc>
      </w:tr>
      <w:tr>
        <w:trPr/>
        <w:tc>
          <w:tcPr>
            <w:tcW w:w="459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vesting of restricted stock units, net of shares withheld for employee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22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ESPP 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22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2" w:type="dxa"/>
            <w:tcBorders/>
            <w:shd w:fill="FFFFFF" w:val="clear"/>
            <w:vAlign w:val="center"/>
          </w:tcPr>
          <w:p>
            <w:pPr>
              <w:pStyle w:val="TableContents"/>
              <w:bidi w:val="0"/>
              <w:spacing w:before="0" w:after="283"/>
              <w:jc w:val="left"/>
              <w:rPr/>
            </w:pPr>
            <w:r>
              <w:rPr/>
              <w:t> </w:t>
            </w:r>
          </w:p>
        </w:tc>
      </w:tr>
      <w:tr>
        <w:trPr/>
        <w:tc>
          <w:tcPr>
            <w:tcW w:w="45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12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283"/>
              <w:ind w:left="22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17,098,345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160" w:right="0" w:hanging="0"/>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12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(459,823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22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5,599</w:t>
            </w:r>
          </w:p>
        </w:tc>
        <w:tc>
          <w:tcPr>
            <w:tcW w:w="82" w:type="dxa"/>
            <w:tcBorders/>
            <w:shd w:fill="FFFFFF" w:val="clear"/>
            <w:vAlign w:val="center"/>
          </w:tcPr>
          <w:p>
            <w:pPr>
              <w:pStyle w:val="TableContents"/>
              <w:bidi w:val="0"/>
              <w:spacing w:before="0" w:after="283"/>
              <w:jc w:val="left"/>
              <w:rPr/>
            </w:pPr>
            <w:r>
              <w:rPr/>
              <w:t> </w:t>
            </w:r>
          </w:p>
        </w:tc>
      </w:tr>
      <w:tr>
        <w:trPr/>
        <w:tc>
          <w:tcPr>
            <w:tcW w:w="45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22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2" w:type="dxa"/>
            <w:tcBorders/>
            <w:shd w:fill="CCEEFF" w:val="clear"/>
            <w:vAlign w:val="center"/>
          </w:tcPr>
          <w:p>
            <w:pPr>
              <w:pStyle w:val="TableContents"/>
              <w:bidi w:val="0"/>
              <w:spacing w:before="0" w:after="283"/>
              <w:jc w:val="left"/>
              <w:rPr/>
            </w:pPr>
            <w:r>
              <w:rPr/>
              <w:t> </w:t>
            </w:r>
          </w:p>
        </w:tc>
      </w:tr>
      <w:tr>
        <w:trPr/>
        <w:tc>
          <w:tcPr>
            <w:tcW w:w="459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vesting of restricted stock units,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22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issuance of common stock and pre-funded warrants in connection with equity financing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3,405,118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16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22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w:t>
            </w:r>
          </w:p>
        </w:tc>
        <w:tc>
          <w:tcPr>
            <w:tcW w:w="82" w:type="dxa"/>
            <w:tcBorders/>
            <w:shd w:fill="CCEEFF" w:val="clear"/>
            <w:vAlign w:val="center"/>
          </w:tcPr>
          <w:p>
            <w:pPr>
              <w:pStyle w:val="TableContents"/>
              <w:bidi w:val="0"/>
              <w:spacing w:before="0" w:after="283"/>
              <w:jc w:val="left"/>
              <w:rPr/>
            </w:pPr>
            <w:r>
              <w:rPr/>
              <w:t> </w:t>
            </w:r>
          </w:p>
        </w:tc>
      </w:tr>
      <w:tr>
        <w:trPr/>
        <w:tc>
          <w:tcPr>
            <w:tcW w:w="45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12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22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20,522,655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(463,312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22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22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6,627</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Talphera,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Cash Flows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800" w:type="dxa"/>
        <w:jc w:val="left"/>
        <w:tblInd w:w="0" w:type="dxa"/>
        <w:tblLayout w:type="fixed"/>
        <w:tblCellMar>
          <w:top w:w="0" w:type="dxa"/>
          <w:left w:w="0" w:type="dxa"/>
          <w:bottom w:w="0" w:type="dxa"/>
          <w:right w:w="0" w:type="dxa"/>
        </w:tblCellMar>
      </w:tblPr>
      <w:tblGrid>
        <w:gridCol w:w="8075"/>
        <w:gridCol w:w="60"/>
        <w:gridCol w:w="125"/>
        <w:gridCol w:w="650"/>
        <w:gridCol w:w="80"/>
        <w:gridCol w:w="60"/>
        <w:gridCol w:w="125"/>
        <w:gridCol w:w="545"/>
        <w:gridCol w:w="80"/>
      </w:tblGrid>
      <w:tr>
        <w:trPr/>
        <w:tc>
          <w:tcPr>
            <w:tcW w:w="8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80" w:right="0" w:hanging="0"/>
              <w:jc w:val="left"/>
              <w:rPr/>
            </w:pPr>
            <w:r>
              <w:rPr/>
              <w:t> </w:t>
            </w:r>
          </w:p>
        </w:tc>
        <w:tc>
          <w:tcPr>
            <w:tcW w:w="1585" w:type="dxa"/>
            <w:gridSpan w:val="6"/>
            <w:tcBorders>
              <w:bottom w:val="single" w:sz="2" w:space="0" w:color="000000"/>
            </w:tcBorders>
            <w:tcMar>
              <w:bottom w:w="28" w:type="dxa"/>
            </w:tcMar>
            <w:vAlign w:val="center"/>
          </w:tcPr>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w:t>
              <w:br/>
              <w:t xml:space="preserve">Ended June 30, </w:t>
            </w:r>
          </w:p>
        </w:tc>
        <w:tc>
          <w:tcPr>
            <w:tcW w:w="80" w:type="dxa"/>
            <w:tcBorders/>
            <w:vAlign w:val="center"/>
          </w:tcPr>
          <w:p>
            <w:pPr>
              <w:pStyle w:val="TableContents"/>
              <w:bidi w:val="0"/>
              <w:spacing w:before="0" w:after="283"/>
              <w:jc w:val="left"/>
              <w:rPr/>
            </w:pPr>
            <w:r>
              <w:rPr/>
              <w:t> </w:t>
            </w:r>
          </w:p>
        </w:tc>
      </w:tr>
      <w:tr>
        <w:trPr/>
        <w:tc>
          <w:tcPr>
            <w:tcW w:w="8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8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8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80" w:right="0" w:hanging="0"/>
              <w:jc w:val="left"/>
              <w:rPr/>
            </w:pPr>
            <w:r>
              <w:rPr/>
              <w:t> </w:t>
            </w:r>
          </w:p>
        </w:tc>
        <w:tc>
          <w:tcPr>
            <w:tcW w:w="125" w:type="dxa"/>
            <w:tcBorders/>
            <w:shd w:fill="FFFFFF" w:val="clear"/>
            <w:vAlign w:val="center"/>
          </w:tcPr>
          <w:p>
            <w:pPr>
              <w:pStyle w:val="TableContents"/>
              <w:bidi w:val="0"/>
              <w:spacing w:before="0" w:after="283"/>
              <w:ind w:left="8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80" w:right="0" w:hanging="0"/>
              <w:jc w:val="left"/>
              <w:rPr/>
            </w:pPr>
            <w:r>
              <w:rPr/>
              <w:t> </w:t>
            </w:r>
          </w:p>
        </w:tc>
        <w:tc>
          <w:tcPr>
            <w:tcW w:w="125" w:type="dxa"/>
            <w:tcBorders/>
            <w:shd w:fill="FFFFFF" w:val="clear"/>
            <w:vAlign w:val="center"/>
          </w:tcPr>
          <w:p>
            <w:pPr>
              <w:pStyle w:val="TableContents"/>
              <w:bidi w:val="0"/>
              <w:spacing w:before="0" w:after="283"/>
              <w:ind w:left="8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revenue related to the sale of future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amortization of discount on short-term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8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8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8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8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8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FFFF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FFFFFF" w:val="clear"/>
            <w:vAlign w:val="center"/>
          </w:tcPr>
          <w:p>
            <w:pPr>
              <w:pStyle w:val="TableContents"/>
              <w:bidi w:val="0"/>
              <w:spacing w:before="0" w:after="0"/>
              <w:ind w:left="19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and maturities of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19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issuance of common stock and prefunded warrants in private placement offerings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issuance of common stock through equity plans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FFFFFF" w:val="clear"/>
            <w:vAlign w:val="center"/>
          </w:tcPr>
          <w:p>
            <w:pPr>
              <w:pStyle w:val="TableContents"/>
              <w:bidi w:val="0"/>
              <w:spacing w:before="0" w:after="0"/>
              <w:ind w:left="19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4,346</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8,863</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equivalents—End of period</w:t>
            </w:r>
          </w:p>
        </w:tc>
        <w:tc>
          <w:tcPr>
            <w:tcW w:w="60" w:type="dxa"/>
            <w:tcBorders/>
            <w:shd w:fill="CCEEFF" w:val="clear"/>
            <w:vAlign w:val="center"/>
          </w:tcPr>
          <w:p>
            <w:pPr>
              <w:pStyle w:val="TableContents"/>
              <w:bidi w:val="0"/>
              <w:spacing w:before="0" w:after="283"/>
              <w:ind w:left="8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8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8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8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Talphera,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where otherwise noted)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1. Organization and Summary of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Talphera, Inc., or the Company, or Talphera, was incorporated in Delaware on July 13, 2005 as SuRx, Inc. The Company subsequently changed its name to AcelRx Pharmaceuticals, Inc. and, on January 9, 2024 to Talphera, Inc. The Company’s operations are based in San Mateo,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Talphera is a specialty pharmaceutical company focused on the development and commercialization of innovative therapies for use in medically supervised settings. The Company’s product development portfolio features Niyad® (a regional anticoagulant for the dialysis circuit). All resources are currently focused on developing Niyad. LTX-608 is a nafamostat formulation for direct IV infusion that the Company may develop for one or more of the following indications: disseminated intravascular coagulation, or DIC, acute respiratory distress syndrome, or ARDS, acute pancreatitis, or as an anti-viral treatment. There are two ready-to-use pre-filled syringe product candidates that have been explored but are being evaluated for discontinuation.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7, 2022, the Company acquired Lowell Therapeutics, Inc., or Lowell, a privately held company (see Note 4, “Asset Acquisition” to the consolidated financial statements in the Company’s 2025 Annual Report on Form 10-K for additional information) and, as a result acquired the Niyad developmental product, a regional anticoagulant for the dialysis circuit during continuous renal replacement therapy for acute kidney injury patients in the hospital, that the Company is studying under an investigational device exemption, or IDE, and for which it has received Breakthrough Device Designation status from the FDA. While not approved for commercial use in the United States, the active drug component of Niyad, nafamostat, has been approved in Japan and South Korea as a regional anticoagulant for the dialysis circuit, disseminated intravascular coagulation, and acute pancreatitis. Niyad is a lyophilized formulation of nafamostat, a broad-spectrum, synthetic serine protease inhibitor, with anticoagulant, anti-inflammatory, and potential anti-viral activities. The second intended indication for Niyad is as a regional anticoagulant for the dialysis circuit for chronic kidney disease patients undergoing intermittent hemodialysis in dialysis centers. In addition, the Company acquired LTX-608, a nafamostat formulation for direct IV infusion.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14, 2021, the Company entered into a License and Commercialization Agreement, or the PFS Agreement, with Laboratoire Aguettant, or Aguettant, pursuant to which the Company obtained the exclusive right to develop and, subject to FDA approval, commercialize in the United States (i) an ephedrine pre-filled syringe for injection (Fedsyra), and (ii) a phenylephrine PFS for injection (see Note 5, “In-License Agreement” to the consolidated financial statements in the Company’s 2025 Annual Report on Form 10-K for additional information). Aguettant will supply the Company with the products for use in commercialization, if they are approved in the U.S. This agreement is currently being evaluated for potential termination given the competitive environment for these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Liquidity and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for the three and six months ended June 30, 2026 were prepared on the basis of a going concern, which contemplates that the Company will be able to realize assets and discharge liabilities in the normal course of business. The Company has incurred recurring operating losses and negative cash flows from operating activities since inception and expects to continue to incur operating losses and negative cash flows in the future. These conditions raise substantial doubt about the Company’s ability to continue as a going concern. Considering the Company’s current cash resources and its current and expected levels of operating expenses for the next twelve months, management expects to need additional capital to fund its planned operations prior to the 12-month anniversary of the date this Quarterly Report on Form 10-Q is filed with the United States Securities and Exchange Commission, or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may seek to raise such additional capital through public or private equity offerings, debt securities, a new debt facility, monetizing or securitizing certain assets, entering into product development, license or distribution agreements with third parties, or divesting any of the Company’s remaining product candidates. While management believes its plans to raise additional funds will alleviate the conditions that raise substantial doubt about the Company’s ability to continue as a going concern, these plans are not entirely within the Company’s control and cannot be assessed as being probable of occurring.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funds may not be available when the Company needs them on terms that are acceptable to the Company, or at all. If adequate funds are not available, the Company may be required to further reduce its workforce, delay the ongoing clinical trial for Niyad, or delay the development of its regulatory filing plans for its product candidates in advance of the date on which the Company’s cash resources are exhausted to ensure that the Company has sufficient capital to meet its obligations and continue on a path designed to preserve stockholder value. In addition, if additional funds are raised through collaborations, strategic alliances or licensing arrangements with third parties, the Company may have to relinquish rights to its technologies, future revenue streams or product candidates, or to grant licenses on terms that may not be favorable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have been prepared in conformity with accounting principles generally accepted in the United States, or GAAP, and with the rules and regulations of the SEC, related to quarterly reports on Form 10-Q, and accordingly, they do not include all the information and disclosures required by GAAP for annual financial statements. These condensed consolidated financial statements and notes thereto should be read in conjunction with the audited consolidated financial statements and notes thereto included in the Company’s Annual Report on Form 10-K for the fiscal year ended December 31, 2025, as filed with the SEC on March 23, 2026. The unaudited financial information for the interim periods presented herein reflects all adjustments, consisting of normal recurring adjustments, which, in the opinion of management, are necessary for a fair statement of its financial position and the condensed consolidated results of operations for the periods presented. Results of operations for interim periods covered by this Quarterly Report on Form 10-Q may not necessarily be indicative of results of operations for the full fiscal year or any other interim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include the accounts of the Company and its wholly owned subsidiary. All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amounts reported in the unaudited condensed consolidated financial statements and accompanying notes. Management believes its most significant accounting estimates relate to fair value of warrants, impairment of long-lived assets, management’s assessment of going concern, revenue recognition, liability related to the sale of future payments and accrued clinical trial liabilities. Management evaluates its estimates on an ongoing basis including critical accounting policies. Estimates are based on historical experience and on various other market-specific and other relevant assumptions that the Company believes to be reasonable under the circumstances, the results of which form the basis for making judgments about the carrying values of assets and liabilities that are not readily apparent from other sources.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significant accounting policies are detailed in its Annual Report on Form 10-K for the year ended December 31, 2025. There have been no significant changes to the Company’s significant accounting policies during the three and six months ended June 30, 2026, from those previously disclosed in its 2025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 (Subtopic 220-40): Disaggregation of Income Statement Expenses</w:t>
      </w:r>
      <w:r>
        <w:rPr>
          <w:rFonts w:ascii="Times New Roman" w:hAnsi="Times New Roman"/>
          <w:caps w:val="false"/>
          <w:smallCaps w:val="false"/>
          <w:sz w:val="20"/>
        </w:rPr>
        <w:t>, or ASU 2024-03, which is intended to enhance transparency into the nature and function of expenses, primarily through additional disclosures on certain cost and expenses. Additionally, in January 2025, the FASB issued ASU 2025-01 to clarify the effective date of ASU 2024-03. This authoritative guidance is effective for the Company beginning with its annual disclosures for 2027 and interim periods beginning in 2028. Early adoption is permitted, and the amendments may be applied prospectively to reporting periods after the effective date or retrospectively to all periods presented in the financial statements. The Company is in the process of evaluating the impact of this new guidance on its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does not believe other recently issued but not yet effective accounting standards, if currently adopted, would have a material effect on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2. Investments and Fair Value Measurement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Investments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classifies its marketable securities as available for sale and records its investments at fair value. Available-for-sale securities are carried at estimated fair value based on quoted market prices or observable market inputs of almost identical assets, with the unrealized holding gains and losses included in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and December 31, 2025, the contractual maturity of all investments held was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tables below summarize the Company’s cash and cash equivalents and short-term investments (in thousands):</w:t>
      </w:r>
    </w:p>
    <w:p>
      <w:pPr>
        <w:pStyle w:val="TextBody"/>
        <w:bidi w:val="0"/>
        <w:spacing w:before="0" w:after="0"/>
        <w:ind w:left="0" w:right="0" w:hanging="0"/>
        <w:jc w:val="left"/>
        <w:rPr>
          <w:caps w:val="false"/>
          <w:smallCaps w:val="false"/>
        </w:rPr>
      </w:pPr>
      <w:r>
        <w:rPr>
          <w:caps w:val="false"/>
          <w:smallCaps w:val="false"/>
        </w:rPr>
        <w:t> </w:t>
      </w:r>
    </w:p>
    <w:tbl>
      <w:tblPr>
        <w:tblW w:w="10092" w:type="dxa"/>
        <w:jc w:val="left"/>
        <w:tblInd w:w="0" w:type="dxa"/>
        <w:tblLayout w:type="fixed"/>
        <w:tblCellMar>
          <w:top w:w="0" w:type="dxa"/>
          <w:left w:w="0" w:type="dxa"/>
          <w:bottom w:w="0" w:type="dxa"/>
          <w:right w:w="0" w:type="dxa"/>
        </w:tblCellMar>
      </w:tblPr>
      <w:tblGrid>
        <w:gridCol w:w="4535"/>
        <w:gridCol w:w="60"/>
        <w:gridCol w:w="240"/>
        <w:gridCol w:w="1144"/>
        <w:gridCol w:w="60"/>
        <w:gridCol w:w="60"/>
        <w:gridCol w:w="483"/>
        <w:gridCol w:w="1006"/>
        <w:gridCol w:w="60"/>
        <w:gridCol w:w="60"/>
        <w:gridCol w:w="483"/>
        <w:gridCol w:w="1006"/>
        <w:gridCol w:w="60"/>
        <w:gridCol w:w="60"/>
        <w:gridCol w:w="125"/>
        <w:gridCol w:w="590"/>
        <w:gridCol w:w="60"/>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3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2026</w:t>
            </w:r>
          </w:p>
        </w:tc>
        <w:tc>
          <w:tcPr>
            <w:tcW w:w="6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Amortized Cost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Unrealized</w:t>
              <w:br/>
              <w:t xml:space="preserve">Gains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Unrealized</w:t>
              <w:br/>
              <w:t xml:space="preserve">Losses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br/>
              <w:t xml:space="preserve">Value </w:t>
            </w:r>
          </w:p>
        </w:tc>
        <w:tc>
          <w:tcPr>
            <w:tcW w:w="6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and cash equivalents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securities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16,334</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short-term investments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16,334</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short-term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092" w:type="dxa"/>
        <w:jc w:val="left"/>
        <w:tblInd w:w="0" w:type="dxa"/>
        <w:tblLayout w:type="fixed"/>
        <w:tblCellMar>
          <w:top w:w="0" w:type="dxa"/>
          <w:left w:w="0" w:type="dxa"/>
          <w:bottom w:w="0" w:type="dxa"/>
          <w:right w:w="0" w:type="dxa"/>
        </w:tblCellMar>
      </w:tblPr>
      <w:tblGrid>
        <w:gridCol w:w="4535"/>
        <w:gridCol w:w="60"/>
        <w:gridCol w:w="240"/>
        <w:gridCol w:w="1144"/>
        <w:gridCol w:w="60"/>
        <w:gridCol w:w="60"/>
        <w:gridCol w:w="483"/>
        <w:gridCol w:w="1006"/>
        <w:gridCol w:w="60"/>
        <w:gridCol w:w="60"/>
        <w:gridCol w:w="483"/>
        <w:gridCol w:w="1006"/>
        <w:gridCol w:w="60"/>
        <w:gridCol w:w="60"/>
        <w:gridCol w:w="125"/>
        <w:gridCol w:w="590"/>
        <w:gridCol w:w="60"/>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3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2025</w:t>
            </w:r>
          </w:p>
        </w:tc>
        <w:tc>
          <w:tcPr>
            <w:tcW w:w="6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Amortized Cost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Unrealized</w:t>
              <w:br/>
              <w:t xml:space="preserve">Gains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Unrealized</w:t>
              <w:br/>
              <w:t xml:space="preserve">Losses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br/>
              <w:t xml:space="preserve">Value </w:t>
            </w:r>
          </w:p>
        </w:tc>
        <w:tc>
          <w:tcPr>
            <w:tcW w:w="6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1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securities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2,959</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securities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14,487</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short-term investments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14,487</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short-term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any significant deterioration in economic conditions. There were no material realized or unrealized gains or losses on marketable securities for the three and six months ended June 30, 2026 or the twelve months ended December 31, 2025. As such, the Company did not record a credit allowance for the three and six months ended June 30, 2026 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Fair Value Measurement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financial instruments consist of Level I and II assets. Money market funds are highly liquid investments and are actively traded. The pricing information on these investment instruments is readily available and can be independently validated as of the measurement date. This approach results in the classification of these securities as Level 1 of the fair value hierarchy. For Level II instruments, the Company estimates fair value by utilizing third-party pricing services in developing fair value measurements where fair value is based on valuation methodologies such as models using observable market inputs, including benchmark yields, reported trades, broker/dealer quotes, bids, offers and other reference data. Such Level II instruments typically include U.S. Treasury, U.S. government agency securities and commercial paper. As of June 30, 2026 and December 31, 2025, the Company held, in addition to Level II assets, a warrant liability related to the December 2022 Common Stock Warrants. The fair value of the warrant liability was estimated using the Black Scholes Model which uses as inputs the following weighted average assumptions: dividend yield, expected term in years; equity volatility; and risk-free interest rate. The Company follows the guidance in ASC 820 for its financial assets and liabilities that are re-measured and reported at fair value at each reporting period. The estimated fair value of the warrant liability represents a Level III measurement. Changes to the estimated fair value of these liabilities are recorded in change in fair value of warrant liability in the 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 forth the fair value of the Company’s financial assets and liabilities by level within the fair value hierarchy (in thousands):</w:t>
      </w:r>
    </w:p>
    <w:p>
      <w:pPr>
        <w:pStyle w:val="TextBody"/>
        <w:bidi w:val="0"/>
        <w:spacing w:before="0" w:after="0"/>
        <w:ind w:left="0" w:right="0" w:hanging="0"/>
        <w:jc w:val="left"/>
        <w:rPr>
          <w:caps w:val="false"/>
          <w:smallCaps w:val="false"/>
        </w:rPr>
      </w:pPr>
      <w:r>
        <w:rPr>
          <w:caps w:val="false"/>
          <w:smallCaps w:val="false"/>
        </w:rPr>
        <w:t> </w:t>
      </w:r>
    </w:p>
    <w:tbl>
      <w:tblPr>
        <w:tblW w:w="6771" w:type="dxa"/>
        <w:jc w:val="left"/>
        <w:tblInd w:w="0" w:type="dxa"/>
        <w:tblLayout w:type="fixed"/>
        <w:tblCellMar>
          <w:top w:w="0" w:type="dxa"/>
          <w:left w:w="0" w:type="dxa"/>
          <w:bottom w:w="0" w:type="dxa"/>
          <w:right w:w="0" w:type="dxa"/>
        </w:tblCellMar>
      </w:tblPr>
      <w:tblGrid>
        <w:gridCol w:w="3095"/>
        <w:gridCol w:w="60"/>
        <w:gridCol w:w="171"/>
        <w:gridCol w:w="808"/>
        <w:gridCol w:w="60"/>
        <w:gridCol w:w="60"/>
        <w:gridCol w:w="179"/>
        <w:gridCol w:w="485"/>
        <w:gridCol w:w="60"/>
        <w:gridCol w:w="60"/>
        <w:gridCol w:w="129"/>
        <w:gridCol w:w="610"/>
        <w:gridCol w:w="60"/>
        <w:gridCol w:w="60"/>
        <w:gridCol w:w="167"/>
        <w:gridCol w:w="647"/>
        <w:gridCol w:w="6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June 30, 2026 </w:t>
            </w:r>
          </w:p>
        </w:tc>
        <w:tc>
          <w:tcPr>
            <w:tcW w:w="6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Fair Value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II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III </w:t>
            </w:r>
          </w:p>
        </w:tc>
        <w:tc>
          <w:tcPr>
            <w:tcW w:w="6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securities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71" w:type="dxa"/>
        <w:jc w:val="left"/>
        <w:tblInd w:w="0" w:type="dxa"/>
        <w:tblLayout w:type="fixed"/>
        <w:tblCellMar>
          <w:top w:w="0" w:type="dxa"/>
          <w:left w:w="0" w:type="dxa"/>
          <w:bottom w:w="0" w:type="dxa"/>
          <w:right w:w="0" w:type="dxa"/>
        </w:tblCellMar>
      </w:tblPr>
      <w:tblGrid>
        <w:gridCol w:w="3095"/>
        <w:gridCol w:w="60"/>
        <w:gridCol w:w="171"/>
        <w:gridCol w:w="808"/>
        <w:gridCol w:w="60"/>
        <w:gridCol w:w="60"/>
        <w:gridCol w:w="136"/>
        <w:gridCol w:w="528"/>
        <w:gridCol w:w="60"/>
        <w:gridCol w:w="60"/>
        <w:gridCol w:w="129"/>
        <w:gridCol w:w="610"/>
        <w:gridCol w:w="60"/>
        <w:gridCol w:w="60"/>
        <w:gridCol w:w="167"/>
        <w:gridCol w:w="647"/>
        <w:gridCol w:w="6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December 31, 2025 </w:t>
            </w:r>
          </w:p>
        </w:tc>
        <w:tc>
          <w:tcPr>
            <w:tcW w:w="6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Fair Value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II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III </w:t>
            </w:r>
          </w:p>
        </w:tc>
        <w:tc>
          <w:tcPr>
            <w:tcW w:w="6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securities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 forth a summary of the changes in the fair value of the Company’s Level III warrant liability for the 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78"/>
        <w:gridCol w:w="60"/>
        <w:gridCol w:w="60"/>
        <w:gridCol w:w="516"/>
        <w:gridCol w:w="2011"/>
        <w:gridCol w:w="60"/>
        <w:gridCol w:w="60"/>
        <w:gridCol w:w="60"/>
        <w:gridCol w:w="287"/>
        <w:gridCol w:w="1116"/>
        <w:gridCol w:w="97"/>
      </w:tblGrid>
      <w:tr>
        <w:trPr/>
        <w:tc>
          <w:tcPr>
            <w:tcW w:w="587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97" w:type="dxa"/>
            <w:tcBorders/>
            <w:vAlign w:val="center"/>
          </w:tcPr>
          <w:p>
            <w:pPr>
              <w:pStyle w:val="TableContents"/>
              <w:bidi w:val="0"/>
              <w:spacing w:before="0" w:after="283"/>
              <w:jc w:val="left"/>
              <w:rPr/>
            </w:pPr>
            <w:r>
              <w:rPr/>
              <w:t> </w:t>
            </w:r>
          </w:p>
        </w:tc>
      </w:tr>
      <w:tr>
        <w:trPr/>
        <w:tc>
          <w:tcPr>
            <w:tcW w:w="58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value—beginning of period</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97" w:type="dxa"/>
            <w:tcBorders/>
            <w:shd w:fill="CCEEFF" w:val="clear"/>
            <w:vAlign w:val="center"/>
          </w:tcPr>
          <w:p>
            <w:pPr>
              <w:pStyle w:val="TableContents"/>
              <w:bidi w:val="0"/>
              <w:spacing w:before="0" w:after="283"/>
              <w:jc w:val="left"/>
              <w:rPr/>
            </w:pPr>
            <w:r>
              <w:rPr/>
              <w:t> </w:t>
            </w:r>
          </w:p>
        </w:tc>
      </w:tr>
      <w:tr>
        <w:trPr/>
        <w:tc>
          <w:tcPr>
            <w:tcW w:w="58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(gain) on change in fair value of December 2022 Common Stock Warrants liability</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value—end of period</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9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35"/>
        <w:gridCol w:w="60"/>
        <w:gridCol w:w="60"/>
        <w:gridCol w:w="430"/>
        <w:gridCol w:w="1362"/>
        <w:gridCol w:w="80"/>
        <w:gridCol w:w="60"/>
        <w:gridCol w:w="60"/>
        <w:gridCol w:w="319"/>
        <w:gridCol w:w="1242"/>
        <w:gridCol w:w="97"/>
      </w:tblGrid>
      <w:tr>
        <w:trPr/>
        <w:tc>
          <w:tcPr>
            <w:tcW w:w="64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97" w:type="dxa"/>
            <w:tcBorders/>
            <w:vAlign w:val="center"/>
          </w:tcPr>
          <w:p>
            <w:pPr>
              <w:pStyle w:val="TableContents"/>
              <w:bidi w:val="0"/>
              <w:spacing w:before="0" w:after="283"/>
              <w:jc w:val="left"/>
              <w:rPr/>
            </w:pPr>
            <w:r>
              <w:rPr/>
              <w:t> </w:t>
            </w:r>
          </w:p>
        </w:tc>
      </w:tr>
      <w:tr>
        <w:trPr/>
        <w:tc>
          <w:tcPr>
            <w:tcW w:w="6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value—beginning of period</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97" w:type="dxa"/>
            <w:tcBorders/>
            <w:shd w:fill="CCEEFF" w:val="clear"/>
            <w:vAlign w:val="center"/>
          </w:tcPr>
          <w:p>
            <w:pPr>
              <w:pStyle w:val="TableContents"/>
              <w:bidi w:val="0"/>
              <w:spacing w:before="0" w:after="283"/>
              <w:jc w:val="left"/>
              <w:rPr/>
            </w:pPr>
            <w:r>
              <w:rPr/>
              <w:t> </w:t>
            </w:r>
          </w:p>
        </w:tc>
      </w:tr>
      <w:tr>
        <w:trPr/>
        <w:tc>
          <w:tcPr>
            <w:tcW w:w="64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change in fair value of December 2022 Common Stock Warrants liability</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value—end of period</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p>
        </w:tc>
        <w:tc>
          <w:tcPr>
            <w:tcW w:w="9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June 30, 2026, the December 2022 Common Stock Warrants were valued at approximately $1.7 million, using the Black-Scholes option pricing model as follows: exercise price of $2.07 per share, stock price of $1.03 per share, expected life of 2.5 years, volatility of 92.02%, a risk-free rate of 4.15% and 0% expected dividend yield.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transfers between Level I, Level II or Level III of the fair value hierarchy during the three and six months ended June 30, 2026, and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3. Discontinued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12, 2023, the Company entered into the Asset Purchase Agreement with Alora Pharmaceuticals, LLC, or Alora, for Alora’s acquisition of all assets related to DSUVIA, including inventories, equipment and intellectual property in exchange for consideration at closing of $1.1 million, a 15% payment on commercial sales of DSUVIA, 75% payment on sales of DSUVIA to the Department of Defense and up to $116.5 million in sales-based milestones, or the DSUVIA Agreement. The transaction closed on April 3, 2023 (see Note 3, “Discontinued Operations” to the consolidated financial statements in the Company’s 2025 Annual Report on Form 10-K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results of the discontinued operations for the three- and six-month periods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9986" w:type="dxa"/>
        <w:jc w:val="left"/>
        <w:tblInd w:w="0" w:type="dxa"/>
        <w:tblLayout w:type="fixed"/>
        <w:tblCellMar>
          <w:top w:w="0" w:type="dxa"/>
          <w:left w:w="0" w:type="dxa"/>
          <w:bottom w:w="0" w:type="dxa"/>
          <w:right w:w="0" w:type="dxa"/>
        </w:tblCellMar>
      </w:tblPr>
      <w:tblGrid>
        <w:gridCol w:w="5030"/>
        <w:gridCol w:w="60"/>
        <w:gridCol w:w="348"/>
        <w:gridCol w:w="724"/>
        <w:gridCol w:w="167"/>
        <w:gridCol w:w="167"/>
        <w:gridCol w:w="348"/>
        <w:gridCol w:w="724"/>
        <w:gridCol w:w="60"/>
        <w:gridCol w:w="60"/>
        <w:gridCol w:w="325"/>
        <w:gridCol w:w="677"/>
        <w:gridCol w:w="156"/>
        <w:gridCol w:w="156"/>
        <w:gridCol w:w="325"/>
        <w:gridCol w:w="599"/>
        <w:gridCol w:w="6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ind w:left="0" w:right="0" w:hanging="0"/>
              <w:jc w:val="left"/>
              <w:rPr/>
            </w:pPr>
            <w:r>
              <w:rPr/>
              <w:t> </w:t>
            </w:r>
          </w:p>
        </w:tc>
        <w:tc>
          <w:tcPr>
            <w:tcW w:w="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estimated net liabilities of discontinued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from discontinued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carrying amounts of major classes of liabilities of discontinued operations for each of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7253" w:type="dxa"/>
        <w:jc w:val="left"/>
        <w:tblInd w:w="0" w:type="dxa"/>
        <w:tblLayout w:type="fixed"/>
        <w:tblCellMar>
          <w:top w:w="0" w:type="dxa"/>
          <w:left w:w="0" w:type="dxa"/>
          <w:bottom w:w="0" w:type="dxa"/>
          <w:right w:w="0" w:type="dxa"/>
        </w:tblCellMar>
      </w:tblPr>
      <w:tblGrid>
        <w:gridCol w:w="4130"/>
        <w:gridCol w:w="60"/>
        <w:gridCol w:w="286"/>
        <w:gridCol w:w="903"/>
        <w:gridCol w:w="80"/>
        <w:gridCol w:w="60"/>
        <w:gridCol w:w="393"/>
        <w:gridCol w:w="1246"/>
        <w:gridCol w:w="95"/>
      </w:tblGrid>
      <w:tr>
        <w:trPr/>
        <w:tc>
          <w:tcPr>
            <w:tcW w:w="41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9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9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 of discontinued operations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9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liabilities of discontinued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 Sale of Future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12, 2024, the Company and XOMA (US) LLC, or XOMA (subsequently acquired by Ligand Pharmaceuticals, Inc.), entered into a Payment Interest Purchase Agreement, or the Purchase Agreement, for the sale by the Company to XOMA, in exchange for $8.0 million, of the Company’s right, title and interest in and to certain amounts payable to the Company, or collectively the Purchased Receivables, pursuant to the DSUVIA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Alora notified the Company in October 2024 that they are discontinuing their DSUVIA sales efforts to non-DoD customers and, in 2025, that they had submitted a letter to the FDA to request the withdrawal of the DSUVIA NDA. As a result, the Company expects payments related to the Purchased Receivables will be lower than the gross proceeds of $6.6 million received; however, the Company will defer recognition of any probable contingent gain until it has met its obligations under the Purchase Agreement. The Company did not recognize any non-cash revenue or non-cash interest expense for the three and six months ended June 30, 2026, and recognized de minimus non-cash payment interest revenue and no non-cash interest expense for the three and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5. 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for the three and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Amended and Restated 2020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22, 2026, at the 2026 Annual Meeting of Stockholders of the Company, upon the recommendation of the Company’s Board of Directors, the Company’s stockholders approved an amendment and restatement of the Company’s 2020 Equity Incentive Plan, or the Amended 2020 Plan, to increase the number of authorized shares reserved for issuance thereunder by 4,000,000 shares, subject to adjustment for certain changes in the Company’s capitalization. Accordingly, the aggregate number of shares of the Company’s common stock that may be issued under the Amended 2020 Plan will not exceed the sum of: (i) 8,561,395 shares, and (ii) up to 744,608 shares subject to outstanding awards granted under the 2011 Equity Incentive Plan that may become available for issuance under the Amended 2020 Plan, as such shares become available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Amended and Restated 2011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22, 2026, at the 2026 Annual Meeting of Stockholders of the Company, upon the recommendation of the Company’s Board of Directors, the Company’s stockholders approved an amendment and restatement of the Company’s 2011 Employee Stock Purchase Plan, or the Amended 2011 ESPP, to increase the number of authorized shares reserved for issuance thereunder by 100,000 shares, subject to adjustment for certain changes in the Company’s capitalization. Accordingly, the aggregate number of shares of the Company’s common stock that may now be issued under the Amended 2011 ESPP is 545,000.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April 2025 Private Placement </w:t>
      </w:r>
      <w:r>
        <w:rPr>
          <w:rFonts w:ascii="Times New Roman" w:hAnsi="Times New Roman"/>
          <w:caps w:val="false"/>
          <w:smallCaps w:val="false"/>
          <w:sz w:val="20"/>
        </w:rPr>
        <w:t xml:space="preserve">– </w:t>
      </w:r>
      <w:r>
        <w:rPr>
          <w:rFonts w:ascii="Times New Roman" w:hAnsi="Times New Roman"/>
          <w:i/>
          <w:caps w:val="false"/>
          <w:smallCaps w:val="false"/>
          <w:sz w:val="20"/>
        </w:rPr>
        <w:t>Third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13, 2026, the third closing of the April 2025 Private Placement took place following the Company’s announcement of the enrollment of 35 patients in the Niyad NEPHRO CRRT study and the achievement of the target price milestone, which resulted in the issuance of: (i) 639,931 shares of common stock, at a price of $0.586 per share, and (ii) pre-funded warrants at a price of $0.585 per warrant to purchase up to an aggregate of 6,399,316 shares of common stock at an exercise price of $0.001 per share, and gross proceeds of $4.1 million. There are no additional shares of common stock and/or pre-funded warrants remaining to be sold in connection with the third closing of the April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CorMedix Right of First Negotiation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securities purchase agreement entered into with CorMedix, Inc., or CorMedix, following the public announcement, or the Public Announcement, by the Company of the achievement of the primary endpoint and topline clinical data and results of the NEPHRO CRRT clinical study for its product candidate Niyad, CorMedix shall have the right for 60 days thereafter, or the Exclusivity Period, to negotiate exclusively with the Company, or the Right of First Negotiation, with respect to an acquisition of 100% of the capital stock and equity interests of the Company, or an Acquisition Transaction. During the Exclusivity Period, the Company agreed that it shall not engage in discussions with any other third party about an Acquisition Transaction, a sale or exclusive license of all or substantially all of the assets of the Company or any similar transaction. If after conducting good faith negotiations during the Exclusivity Period, the parties are unable to reach a definitive agreement with respect to an Acquisition Transaction, the Company will not, for a period of nine months from the date of the Public Announcement, enter into a definitive agreement or binding arrangement with a third party with respect to an Acquisition Transaction or similar transaction on financial terms less favorable (in the good faith determination of the board of directors of the Company) than those offered in writing by CorMedix during the Exclusivity Period (if any) without the written consent of CorMedix, which consent shall not be unreasonably withheld, delayed or conditioned. The Right of First Negotiation shall terminate upon the earlier of: (i) Talphera’s public announcement of the termination of the NEPHRO CRRT clinical study for any reason prior to the achievement of the study’s primary endpoint and (ii) December 31,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7.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activity related to warrants during the six months ended June 30, 2026, is summarized as follows:</w:t>
      </w:r>
    </w:p>
    <w:p>
      <w:pPr>
        <w:pStyle w:val="TextBody"/>
        <w:bidi w:val="0"/>
        <w:spacing w:before="0" w:after="0"/>
        <w:ind w:left="0" w:right="0" w:hanging="0"/>
        <w:jc w:val="left"/>
        <w:rPr>
          <w:caps w:val="false"/>
          <w:smallCaps w:val="false"/>
        </w:rPr>
      </w:pPr>
      <w:r>
        <w:rPr>
          <w:caps w:val="false"/>
          <w:smallCaps w:val="false"/>
        </w:rPr>
        <w:t> </w:t>
      </w:r>
    </w:p>
    <w:tbl>
      <w:tblPr>
        <w:tblW w:w="6904" w:type="dxa"/>
        <w:jc w:val="left"/>
        <w:tblInd w:w="0" w:type="dxa"/>
        <w:tblLayout w:type="fixed"/>
        <w:tblCellMar>
          <w:top w:w="0" w:type="dxa"/>
          <w:left w:w="0" w:type="dxa"/>
          <w:bottom w:w="0" w:type="dxa"/>
          <w:right w:w="0" w:type="dxa"/>
        </w:tblCellMar>
      </w:tblPr>
      <w:tblGrid>
        <w:gridCol w:w="3710"/>
        <w:gridCol w:w="60"/>
        <w:gridCol w:w="80"/>
        <w:gridCol w:w="1274"/>
        <w:gridCol w:w="80"/>
        <w:gridCol w:w="60"/>
        <w:gridCol w:w="323"/>
        <w:gridCol w:w="1257"/>
        <w:gridCol w:w="60"/>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Common Stock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from</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br/>
              <w:t>Exercise Price</w:t>
              <w:br/>
              <w:t>(per share)</w:t>
            </w:r>
          </w:p>
        </w:tc>
        <w:tc>
          <w:tcPr>
            <w:tcW w:w="6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2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39,319,028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0.72</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2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0.001</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0.001</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at June 30, 2026</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43,890,344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March 2026, the Company issued pre-funded warrants at a price of $0.585 per warrant to purchase up to an aggregate of 6,399,316 shares of common stock at an exercise price of $0.001 per share, in connection with the third closing of the April 2025 Private Placement (see Note 6, “Stockholders’ Equity”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April 2026, 1,828,000 pre-funded warrants at an exercise price of $0.001 per share were exercised on a cashless basis for the issuance of 1,825,478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June 30, 2026, 23,624,768 of the 43,890,344 warrants outstanding and exercisable were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8. 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recorded total stock-based compensation expense for stock options, restricted stock units, or RSUs, and the Amended and Restated 2011 Employee Stock Purchase Plan, or the Amended ESPP, as follows (in thousands):</w:t>
      </w:r>
    </w:p>
    <w:p>
      <w:pPr>
        <w:pStyle w:val="TextBody"/>
        <w:bidi w:val="0"/>
        <w:spacing w:before="0" w:after="0"/>
        <w:ind w:left="0" w:right="0" w:hanging="0"/>
        <w:jc w:val="left"/>
        <w:rPr>
          <w:caps w:val="false"/>
          <w:smallCaps w:val="false"/>
        </w:rPr>
      </w:pPr>
      <w:r>
        <w:rPr>
          <w:caps w:val="false"/>
          <w:smallCaps w:val="false"/>
        </w:rPr>
        <w:t> </w:t>
      </w:r>
    </w:p>
    <w:tbl>
      <w:tblPr>
        <w:tblW w:w="6431" w:type="dxa"/>
        <w:jc w:val="left"/>
        <w:tblInd w:w="0" w:type="dxa"/>
        <w:tblLayout w:type="fixed"/>
        <w:tblCellMar>
          <w:top w:w="0" w:type="dxa"/>
          <w:left w:w="0" w:type="dxa"/>
          <w:bottom w:w="0" w:type="dxa"/>
          <w:right w:w="0" w:type="dxa"/>
        </w:tblCellMar>
      </w:tblPr>
      <w:tblGrid>
        <w:gridCol w:w="2855"/>
        <w:gridCol w:w="60"/>
        <w:gridCol w:w="215"/>
        <w:gridCol w:w="576"/>
        <w:gridCol w:w="103"/>
        <w:gridCol w:w="103"/>
        <w:gridCol w:w="215"/>
        <w:gridCol w:w="576"/>
        <w:gridCol w:w="60"/>
        <w:gridCol w:w="60"/>
        <w:gridCol w:w="186"/>
        <w:gridCol w:w="499"/>
        <w:gridCol w:w="89"/>
        <w:gridCol w:w="89"/>
        <w:gridCol w:w="186"/>
        <w:gridCol w:w="499"/>
        <w:gridCol w:w="6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60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480" w:right="0" w:hanging="0"/>
              <w:jc w:val="left"/>
              <w:rPr/>
            </w:pPr>
            <w:r>
              <w:rPr/>
              <w:t> </w:t>
            </w:r>
          </w:p>
        </w:tc>
        <w:tc>
          <w:tcPr>
            <w:tcW w:w="1548" w:type="dxa"/>
            <w:gridSpan w:val="6"/>
            <w:tcBorders>
              <w:bottom w:val="single" w:sz="2" w:space="0" w:color="000000"/>
            </w:tcBorders>
            <w:tcMar>
              <w:bottom w:w="28" w:type="dxa"/>
            </w:tcMar>
            <w:vAlign w:val="center"/>
          </w:tcPr>
          <w:p>
            <w:pPr>
              <w:pStyle w:val="TableContents"/>
              <w:bidi w:val="0"/>
              <w:spacing w:before="0" w:after="0"/>
              <w:ind w:left="4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br/>
              <w:t>June 30,</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60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120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60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120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48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9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48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9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restricted stock unit activity under the Company’s equity incentive plans:</w:t>
      </w:r>
    </w:p>
    <w:p>
      <w:pPr>
        <w:pStyle w:val="TextBody"/>
        <w:bidi w:val="0"/>
        <w:spacing w:before="0" w:after="0"/>
        <w:ind w:left="0" w:right="0" w:hanging="0"/>
        <w:jc w:val="left"/>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4175"/>
        <w:gridCol w:w="60"/>
        <w:gridCol w:w="70"/>
        <w:gridCol w:w="894"/>
        <w:gridCol w:w="80"/>
        <w:gridCol w:w="60"/>
        <w:gridCol w:w="238"/>
        <w:gridCol w:w="726"/>
        <w:gridCol w:w="6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 outstanding, January 1, 2026</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0.88</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0.83</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0.95</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 outstanding, June 30, 2026</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452,809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vesting, certain of the Company’s RSUs may be settled on a net-exercise basis to cover any required withholding tax with the remaining amount converted into an equivalent number of shares of common stock. There were 21,462 and 41,218 shares of common stock underlying vested RSUs that were withheld during the three and six months ended June 30, 2026, respectively, based on the value of the RSUs as determined by the Company’s closing stock price on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stock option activity under the Company’s equity incentive plans:</w:t>
      </w:r>
    </w:p>
    <w:p>
      <w:pPr>
        <w:pStyle w:val="TextBody"/>
        <w:bidi w:val="0"/>
        <w:spacing w:before="0" w:after="0"/>
        <w:ind w:left="0" w:right="0" w:hanging="0"/>
        <w:jc w:val="left"/>
        <w:rPr>
          <w:caps w:val="false"/>
          <w:smallCaps w:val="false"/>
        </w:rPr>
      </w:pPr>
      <w:r>
        <w:rPr>
          <w:caps w:val="false"/>
          <w:smallCaps w:val="false"/>
        </w:rPr>
        <w:t> </w:t>
      </w:r>
    </w:p>
    <w:tbl>
      <w:tblPr>
        <w:tblW w:w="8967" w:type="dxa"/>
        <w:jc w:val="left"/>
        <w:tblInd w:w="0" w:type="dxa"/>
        <w:tblLayout w:type="fixed"/>
        <w:tblCellMar>
          <w:top w:w="0" w:type="dxa"/>
          <w:left w:w="0" w:type="dxa"/>
          <w:bottom w:w="0" w:type="dxa"/>
          <w:right w:w="0" w:type="dxa"/>
        </w:tblCellMar>
      </w:tblPr>
      <w:tblGrid>
        <w:gridCol w:w="3920"/>
        <w:gridCol w:w="60"/>
        <w:gridCol w:w="91"/>
        <w:gridCol w:w="1308"/>
        <w:gridCol w:w="80"/>
        <w:gridCol w:w="60"/>
        <w:gridCol w:w="182"/>
        <w:gridCol w:w="708"/>
        <w:gridCol w:w="60"/>
        <w:gridCol w:w="60"/>
        <w:gridCol w:w="191"/>
        <w:gridCol w:w="878"/>
        <w:gridCol w:w="60"/>
        <w:gridCol w:w="60"/>
        <w:gridCol w:w="322"/>
        <w:gridCol w:w="867"/>
        <w:gridCol w:w="60"/>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br/>
              <w:t>of Stock Options</w:t>
              <w:br/>
              <w:t xml:space="preserve">Outstanding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2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2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Exercise</w:t>
              <w:br/>
              <w:t xml:space="preserve">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Remaining</w:t>
              <w:br/>
              <w:t>Contractual</w:t>
              <w:br/>
              <w:t xml:space="preserve">Life (Years)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br/>
              <w:t>Intrinsic</w:t>
              <w:br/>
              <w:t xml:space="preserve">Value </w:t>
            </w:r>
          </w:p>
        </w:tc>
        <w:tc>
          <w:tcPr>
            <w:tcW w:w="6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 2026</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320" w:right="0" w:hanging="0"/>
              <w:jc w:val="left"/>
              <w:rPr/>
            </w:pPr>
            <w:r>
              <w:rPr/>
              <w:t> </w:t>
            </w:r>
          </w:p>
        </w:tc>
        <w:tc>
          <w:tcPr>
            <w:tcW w:w="13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28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320" w:right="0" w:hanging="0"/>
              <w:jc w:val="left"/>
              <w:rPr/>
            </w:pPr>
            <w:r>
              <w:rPr/>
              <w:t> </w:t>
            </w:r>
          </w:p>
        </w:tc>
        <w:tc>
          <w:tcPr>
            <w:tcW w:w="130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28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320" w:right="0" w:hanging="0"/>
              <w:jc w:val="left"/>
              <w:rPr/>
            </w:pPr>
            <w:r>
              <w:rPr/>
              <w:t> </w:t>
            </w:r>
          </w:p>
        </w:tc>
        <w:tc>
          <w:tcPr>
            <w:tcW w:w="13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320" w:right="0" w:hanging="0"/>
              <w:jc w:val="left"/>
              <w:rPr/>
            </w:pPr>
            <w:r>
              <w:rPr/>
              <w:t> </w:t>
            </w:r>
          </w:p>
        </w:tc>
        <w:tc>
          <w:tcPr>
            <w:tcW w:w="1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28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ind w:left="380" w:right="0" w:hanging="0"/>
              <w:jc w:val="left"/>
              <w:rPr/>
            </w:pPr>
            <w:r>
              <w:rPr/>
              <w:t> </w:t>
            </w:r>
          </w:p>
        </w:tc>
        <w:tc>
          <w:tcPr>
            <w:tcW w:w="13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4,215,924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16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380" w:right="0" w:hanging="0"/>
              <w:jc w:val="left"/>
              <w:rPr/>
            </w:pPr>
            <w:r>
              <w:rPr/>
              <w:t> </w:t>
            </w:r>
          </w:p>
        </w:tc>
        <w:tc>
          <w:tcPr>
            <w:tcW w:w="322" w:type="dxa"/>
            <w:tcBorders/>
            <w:shd w:fill="FFFFFF" w:val="clear"/>
            <w:vAlign w:val="center"/>
          </w:tcPr>
          <w:p>
            <w:pPr>
              <w:pStyle w:val="TableContents"/>
              <w:bidi w:val="0"/>
              <w:spacing w:before="0" w:after="283"/>
              <w:ind w:left="38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6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exercisable options— June 30, 2026</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300" w:right="0" w:hanging="0"/>
              <w:jc w:val="left"/>
              <w:rPr/>
            </w:pPr>
            <w:r>
              <w:rPr/>
              <w:t> </w:t>
            </w:r>
          </w:p>
        </w:tc>
        <w:tc>
          <w:tcPr>
            <w:tcW w:w="13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16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380" w:right="0" w:hanging="0"/>
              <w:jc w:val="left"/>
              <w:rPr/>
            </w:pPr>
            <w:r>
              <w:rPr/>
              <w:t> </w:t>
            </w:r>
          </w:p>
        </w:tc>
        <w:tc>
          <w:tcPr>
            <w:tcW w:w="322" w:type="dxa"/>
            <w:tcBorders/>
            <w:shd w:fill="CCEEFF" w:val="clear"/>
            <w:vAlign w:val="center"/>
          </w:tcPr>
          <w:p>
            <w:pPr>
              <w:pStyle w:val="TableContents"/>
              <w:bidi w:val="0"/>
              <w:spacing w:before="0" w:after="283"/>
              <w:ind w:left="38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60"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 June 30, 2026</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300" w:right="0" w:hanging="0"/>
              <w:jc w:val="left"/>
              <w:rPr/>
            </w:pPr>
            <w:r>
              <w:rPr/>
              <w:t> </w:t>
            </w:r>
          </w:p>
        </w:tc>
        <w:tc>
          <w:tcPr>
            <w:tcW w:w="13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4,215,924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16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380" w:right="0" w:hanging="0"/>
              <w:jc w:val="left"/>
              <w:rPr/>
            </w:pPr>
            <w:r>
              <w:rPr/>
              <w:t> </w:t>
            </w:r>
          </w:p>
        </w:tc>
        <w:tc>
          <w:tcPr>
            <w:tcW w:w="322" w:type="dxa"/>
            <w:tcBorders/>
            <w:shd w:fill="FFFFFF" w:val="clear"/>
            <w:vAlign w:val="center"/>
          </w:tcPr>
          <w:p>
            <w:pPr>
              <w:pStyle w:val="TableContents"/>
              <w:bidi w:val="0"/>
              <w:spacing w:before="0" w:after="283"/>
              <w:ind w:left="38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total stock-based compensation expense related to unvested options to be recognized in future periods was $1.7 million which is expected to be recognized over a weighted-average period of 2.7 years. As of June 30, 2026, there were 4,063,187 shares available for grant under the Company’s equity incentive plans and 266,039 shares available for grant under the Amended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9. Net Loss per Share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applies the two-class method to compute basic net income (loss) per share by dividing the net income (loss) attributable to common shareholders by the weighted average number of shares of common stock outstanding for the period. The diluted net income (loss) per share of common stock is computed by giving effect to all potential common stock equivalents outstanding for the period determined using the more dilutive of the 1) treasury stock method, if-converted method, or contingently issuable share method, as applicable, or 2) the two-class method. For purposes of this calculation, options to purchase common stock, RSUs, and warrants to purchase common stock were considered to be common stock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July 2023 Series A and Series B common stock warrants, the placement agent July 2023 Series A and Series B common stock warrants, the December 2022 Common Stock Warrants, and the November 2021 Financing Warrants are all participating securities which, by definition, entitle the holders thereof to participate in dividends and other distributions of assets by the Company to its holders of common shares as though the holder then held common shares; however, there is no contractual obligation on the part of the warrant holders to participate in the Company’s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Given that the Company’s participating securities do not have a contractual obligation to share in the Company’s losses, net loss for the three and six months ended June 30, 2026, and the year ended December 31, 2025, was attributed entirely to common stockholders. In periods with a reported net loss, common stock equivalents are excluded from the calculation of diluted net loss per share of common stock if their effect is antidilutive. Potential common shares that are issuable for little or no cash consideration, such as the pre-funded warrants issued with de minimis exercise prices of $0.001 per share are considered outstanding common shares which are included in the calculation of basic and diluted net income (loss) per share in all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outstanding shares of common stock equivalents were excluded from the computation of diluted net income (loss) per share of common stock for the periods presented because including them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4685"/>
        <w:gridCol w:w="60"/>
        <w:gridCol w:w="60"/>
        <w:gridCol w:w="950"/>
        <w:gridCol w:w="60"/>
        <w:gridCol w:w="60"/>
        <w:gridCol w:w="60"/>
        <w:gridCol w:w="950"/>
        <w:gridCol w:w="60"/>
        <w:gridCol w:w="60"/>
        <w:gridCol w:w="60"/>
        <w:gridCol w:w="950"/>
        <w:gridCol w:w="60"/>
        <w:gridCol w:w="60"/>
        <w:gridCol w:w="60"/>
        <w:gridCol w:w="950"/>
        <w:gridCol w:w="60"/>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b/>
                <w:sz w:val="20"/>
              </w:rPr>
              <w:t>Three Months Ended</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stock options and ESPP to purchase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4,668,733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4,668,733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2,700,406</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20,265,576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20,265,576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20,265,576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20,265,576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the shares contingently issuable in connection with the Lowell Merger, as described in Note 4, “Asset Acquisition” to the Company’s 2025 Annual Report on Form 10-K, have also been excluded from the computation of diluted net loss per share of common stock for the periods presented because the contingencies for issuance of these shares have not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reports segment information based on how it internally evaluates the operating performance of its business units, or segments. The Company has one reportable segment, which is the development and commercialization of innovative therapies for use in medically supervised settings.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chief operating decision maker, or CODM, which consists of its Chief Executive Officer and the Chief Financial Officer, reviews the Company’s operating results on an aggregate basis and manages the Company’s operations. The CODM assesses performance for the segment and decides how to allocate resources based on condensed consolidated net loss that is also reported on the condensed consolidated statements of operations. The CODM uses condensed consolidated net loss to evaluate the Company's spend and monitor budget versus actual results. The monitoring of budgeted versus actual results is used in assessing performance of the segment and in establishing resource allocation across the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measure of segment assets is reported on the condensed consolidated balance sheets as total condensed consolidated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the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segment derives its revenues in the United States pursuant to the Marketing Agreement with Alora. All long-lived assets are maintained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is a summary of the segment loss, including significant segment expenses (in thousands):</w:t>
      </w:r>
    </w:p>
    <w:p>
      <w:pPr>
        <w:pStyle w:val="TextBody"/>
        <w:bidi w:val="0"/>
        <w:spacing w:before="0" w:after="0"/>
        <w:ind w:left="0" w:right="0" w:hanging="0"/>
        <w:jc w:val="left"/>
        <w:rPr>
          <w:caps w:val="false"/>
          <w:smallCaps w:val="false"/>
        </w:rPr>
      </w:pPr>
      <w:r>
        <w:rPr>
          <w:caps w:val="false"/>
          <w:smallCaps w:val="false"/>
        </w:rPr>
        <w:t> </w:t>
      </w:r>
    </w:p>
    <w:tbl>
      <w:tblPr>
        <w:tblW w:w="10010" w:type="dxa"/>
        <w:jc w:val="left"/>
        <w:tblInd w:w="0" w:type="dxa"/>
        <w:tblLayout w:type="fixed"/>
        <w:tblCellMar>
          <w:top w:w="0" w:type="dxa"/>
          <w:left w:w="0" w:type="dxa"/>
          <w:bottom w:w="0" w:type="dxa"/>
          <w:right w:w="0" w:type="dxa"/>
        </w:tblCellMar>
      </w:tblPr>
      <w:tblGrid>
        <w:gridCol w:w="5015"/>
        <w:gridCol w:w="60"/>
        <w:gridCol w:w="209"/>
        <w:gridCol w:w="913"/>
        <w:gridCol w:w="134"/>
        <w:gridCol w:w="100"/>
        <w:gridCol w:w="209"/>
        <w:gridCol w:w="913"/>
        <w:gridCol w:w="80"/>
        <w:gridCol w:w="60"/>
        <w:gridCol w:w="189"/>
        <w:gridCol w:w="824"/>
        <w:gridCol w:w="121"/>
        <w:gridCol w:w="90"/>
        <w:gridCol w:w="189"/>
        <w:gridCol w:w="824"/>
        <w:gridCol w:w="8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4"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283"/>
              <w:ind w:left="0" w:right="0" w:hanging="0"/>
              <w:jc w:val="right"/>
              <w:rPr/>
            </w:pPr>
            <w:r>
              <w:rPr/>
              <w:t>—</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283"/>
              <w:ind w:left="0" w:right="0" w:hanging="0"/>
              <w:jc w:val="right"/>
              <w:rPr/>
            </w:pPr>
            <w:r>
              <w:rPr/>
              <w:t>—</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expense (not including stock-based compensation)</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3,172</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w:t>
            </w:r>
          </w:p>
        </w:tc>
        <w:tc>
          <w:tcPr>
            <w:tcW w:w="8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 and clinical trial expense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w:t>
            </w:r>
          </w:p>
        </w:tc>
        <w:tc>
          <w:tcPr>
            <w:tcW w:w="8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expense(a)</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w:t>
            </w:r>
          </w:p>
        </w:tc>
        <w:tc>
          <w:tcPr>
            <w:tcW w:w="8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loss (income), net(b)</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Discontinued operations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and condensed consolidated 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(6,868</w:t>
            </w:r>
          </w:p>
        </w:tc>
        <w:tc>
          <w:tcPr>
            <w:tcW w:w="1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(a)Other general and administrative expense includes consulting and professional services fees, insurance, facilities and other corporate expenses.</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(b)Other segment loss (income), net includes fair value adjustments to warrant liability, interest income, and stock-based compensation expense and marketing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following discussion and analysis should be read in conjunction with the unaudited financial statements and notes thereto included in Part I, Item</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1 of this Quarterly Report on Form 10-Q, or Form 10-Q, and with the audited Consolidated Financial Statements and related notes thereto included as part of our Annual Report on Form 10-K for the year ended December 31, 2025, or the Annual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About Talphera,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specialty pharmaceutical company focused on the development and commercialization of innovative therapies for use in medically supervised settings. Our product development portfolio features Niyad (a regional anticoagulant for the dialysis circuit). All resources are currently focused on developing Niyad. In addition, we may develop LTX-608, a nafamostat formulation for direct IV infusion, for one or more of the following indications: disseminated intravascular coagulation, or DIC, acute respiratory distress syndrome, or ARDS, acute pancreatitis, or as an anti-viral treatment. We have two pre-filled syringe product candidates that have been explored but are being evaluated for discontinuation.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strategy is focused on developing, obtaining approval, and commercializing Niyad. We intend to expand our portfolio to include additional acute care therapies for use in medically supervised settings.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Niyad NEPHRO CRRT registrational trial is ongoing with enrollment completion expected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General Trends and Outlook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Inflation and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believe that inflation has had a material impact on our business or operating results during the periods presented. However, inflation may adversely affect our operating results in the future. In addition, increased inflation has had, and may continue to have, an effect on interest rates. Increased interest rates may adversely affect our borrowing rate and our ability to obtain, or the terms under which we can obtain, any potential additional funding. In addition, the U.S. government has imposed tariffs on products imported from outside the United States, including specific tariffs on pharmaceutical products, which will likely increase our cost of doing business. We continue to monitor the effects of tariffs implemented by the Trump administration and the potential impact of modified or additional tariffs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Financial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incurred net losses and generated negative cash flows from operations and expect to continue to incur losses in the future as we continue to fund any future research and development activities needed to support the FDA regulatory review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net loss for the three and six months ended June 30, 2026, was $4.3 million and $6.9 million, respectively, compared to $3.5 million and $6.1 million for the three and six months ended June 30, 2025, respectively. As of June 30, 2026, we had an accumulated deficit of $478.4 million compared to $471.5 million at December 31, 2025. As of June 30, 2026, we had cash and cash equivalents and short-term investments totaling $17.1 million compared to $20.4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Significant Accounting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discussion and analysis of our financial condition and results of operations are based upon our unaudited condensed consolidated financial statements and the related disclosures, which have been prepared in accordance with accounting principles generally accepted in the United States. The preparation of these financial statements requires us to make estimates, assumptions and judgments that affect the reported amounts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To the extent that there are material differences between these estimates and actual results, our future financial statement presentation, financial condition, results of operations and cash flows will be affected. Our critical accounting policies and estimates are detailed in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no significant changes to our critical accounting policies or significant judgements and estimates for the three and six months ended June 30, 2026, from those previously disclosed in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 (Subtopic 220-40): Disaggregation of Income Statement Expenses</w:t>
      </w:r>
      <w:r>
        <w:rPr>
          <w:rFonts w:ascii="Times New Roman" w:hAnsi="Times New Roman"/>
          <w:caps w:val="false"/>
          <w:smallCaps w:val="false"/>
          <w:sz w:val="20"/>
        </w:rPr>
        <w:t>, or ASU 2024-03, which is intended to enhance transparency into the nature and function of expenses, primarily through additional disclosures on certain cost and expenses. Additionally, in January 2025, the FASB issued ASU 2025-01 to clarify the effective date of ASU 2024-03. This authoritative guidance is effective for us beginning with our annual disclosures for 2027 and interim periods beginning in 2028. Early adoption is permitted, and the amendments may be applied prospectively to reporting periods after the effective date or retrospectively to all periods presented in the financial statements. We are in the process of evaluating the impact of this new guidance on our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believe other recently issued but not yet effective accounting standards, if currently adopted, would have a material effect on our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unaudited condensed consolidated results of operations are presented for the 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Results of operations for any period may be unrelated to results of operations for any other period. In addition, historical results should not be viewed as indicative of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 included the following:</w:t>
      </w:r>
    </w:p>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60"/>
        <w:gridCol w:w="110"/>
        <w:gridCol w:w="77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incurred under agreements with contract research organizations and clinical trial sites;</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60"/>
        <w:gridCol w:w="110"/>
        <w:gridCol w:w="74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employee-related expenses, which include salaries, benefits and stock-based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110"/>
        <w:gridCol w:w="66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third party pharmaceutical and engineering development contractors;</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
        <w:gridCol w:w="110"/>
        <w:gridCol w:w="31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third party manufacturers;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allocated expenses, which include direct and allocated expenses for rent and maintenance of facilities and equipment, and equipment and laboratory and other supply costs; and</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60"/>
        <w:gridCol w:w="110"/>
        <w:gridCol w:w="44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for equipment and laboratory and other supplies.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to incur future research and development expenditures to support the FDA regulatory review of our product candidates and anticipated activities required for the development of our nafamostat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track external development expenses on a program-by-program basis. Our development resources are shared among all our programs. Compensation and benefits, facilities, depreciation, stock-based compensation, and development support services are not allocated specifically to projects and are considered research and development overhead.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Below is a summary of our research and development expenses for the three and six months ended June 30, 2026 and 2025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9826" w:type="dxa"/>
        <w:jc w:val="left"/>
        <w:tblInd w:w="0" w:type="dxa"/>
        <w:tblLayout w:type="fixed"/>
        <w:tblCellMar>
          <w:top w:w="0" w:type="dxa"/>
          <w:left w:w="0" w:type="dxa"/>
          <w:bottom w:w="0" w:type="dxa"/>
          <w:right w:w="0" w:type="dxa"/>
        </w:tblCellMar>
      </w:tblPr>
      <w:tblGrid>
        <w:gridCol w:w="2990"/>
        <w:gridCol w:w="60"/>
        <w:gridCol w:w="136"/>
        <w:gridCol w:w="528"/>
        <w:gridCol w:w="65"/>
        <w:gridCol w:w="65"/>
        <w:gridCol w:w="136"/>
        <w:gridCol w:w="528"/>
        <w:gridCol w:w="65"/>
        <w:gridCol w:w="65"/>
        <w:gridCol w:w="221"/>
        <w:gridCol w:w="594"/>
        <w:gridCol w:w="65"/>
        <w:gridCol w:w="65"/>
        <w:gridCol w:w="146"/>
        <w:gridCol w:w="563"/>
        <w:gridCol w:w="185"/>
        <w:gridCol w:w="60"/>
        <w:gridCol w:w="125"/>
        <w:gridCol w:w="485"/>
        <w:gridCol w:w="60"/>
        <w:gridCol w:w="60"/>
        <w:gridCol w:w="125"/>
        <w:gridCol w:w="485"/>
        <w:gridCol w:w="60"/>
        <w:gridCol w:w="60"/>
        <w:gridCol w:w="221"/>
        <w:gridCol w:w="594"/>
        <w:gridCol w:w="60"/>
        <w:gridCol w:w="60"/>
        <w:gridCol w:w="146"/>
        <w:gridCol w:w="563"/>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80" w:right="0" w:hanging="0"/>
              <w:jc w:val="left"/>
              <w:rPr/>
            </w:pPr>
            <w:r>
              <w:rPr/>
              <w:t> </w:t>
            </w:r>
          </w:p>
        </w:tc>
        <w:tc>
          <w:tcPr>
            <w:tcW w:w="3242" w:type="dxa"/>
            <w:gridSpan w:val="14"/>
            <w:tcBorders>
              <w:bottom w:val="single" w:sz="2" w:space="0" w:color="000000"/>
            </w:tcBorders>
            <w:tcMar>
              <w:bottom w:w="28" w:type="dxa"/>
            </w:tcMar>
            <w:vAlign w:val="center"/>
          </w:tcPr>
          <w:p>
            <w:pPr>
              <w:pStyle w:val="TableContents"/>
              <w:bidi w:val="0"/>
              <w:spacing w:before="0" w:after="0"/>
              <w:ind w:left="1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3104" w:type="dxa"/>
            <w:gridSpan w:val="14"/>
            <w:tcBorders>
              <w:bottom w:val="single" w:sz="2" w:space="0" w:color="000000"/>
            </w:tcBorders>
            <w:tcMar>
              <w:bottom w:w="28" w:type="dxa"/>
            </w:tcMar>
            <w:vAlign w:val="center"/>
          </w:tcPr>
          <w:p>
            <w:pPr>
              <w:pStyle w:val="TableContents"/>
              <w:bidi w:val="0"/>
              <w:spacing w:before="0" w:after="0"/>
              <w:ind w:left="160" w:right="0" w:hanging="0"/>
              <w:jc w:val="center"/>
              <w:rPr>
                <w:rFonts w:ascii="Times New Roman;Times;serif" w:hAnsi="Times New Roman;Times;serif"/>
                <w:b/>
                <w:sz w:val="20"/>
              </w:rPr>
            </w:pPr>
            <w:r>
              <w:rPr>
                <w:rFonts w:ascii="Times New Roman;Times;serif" w:hAnsi="Times New Roman;Times;serif"/>
                <w:b/>
                <w:sz w:val="20"/>
              </w:rPr>
              <w:t>Six Months Ended June 30,</w:t>
            </w:r>
          </w:p>
        </w:tc>
        <w:tc>
          <w:tcPr>
            <w:tcW w:w="18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360" w:right="0" w:hanging="0"/>
              <w:jc w:val="left"/>
              <w:rPr/>
            </w:pPr>
            <w:r>
              <w:rPr/>
              <w:t> </w:t>
            </w:r>
          </w:p>
        </w:tc>
        <w:tc>
          <w:tcPr>
            <w:tcW w:w="664" w:type="dxa"/>
            <w:gridSpan w:val="2"/>
            <w:tcBorders>
              <w:bottom w:val="single" w:sz="2" w:space="0" w:color="000000"/>
            </w:tcBorders>
            <w:tcMar>
              <w:bottom w:w="28" w:type="dxa"/>
            </w:tcMar>
            <w:vAlign w:val="center"/>
          </w:tcPr>
          <w:p>
            <w:pPr>
              <w:pStyle w:val="TableContents"/>
              <w:bidi w:val="0"/>
              <w:spacing w:before="0" w:after="0"/>
              <w:ind w:left="360" w:right="0" w:hanging="0"/>
              <w:jc w:val="center"/>
              <w:rPr/>
            </w:pPr>
            <w:r>
              <w:rPr/>
              <w:t> </w:t>
            </w:r>
          </w:p>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360" w:right="0" w:hanging="0"/>
              <w:jc w:val="left"/>
              <w:rPr/>
            </w:pPr>
            <w:r>
              <w:rPr/>
              <w:t> </w:t>
            </w:r>
          </w:p>
        </w:tc>
        <w:tc>
          <w:tcPr>
            <w:tcW w:w="664" w:type="dxa"/>
            <w:gridSpan w:val="2"/>
            <w:tcBorders>
              <w:bottom w:val="single" w:sz="2" w:space="0" w:color="000000"/>
            </w:tcBorders>
            <w:tcMar>
              <w:bottom w:w="28" w:type="dxa"/>
            </w:tcMar>
            <w:vAlign w:val="center"/>
          </w:tcPr>
          <w:p>
            <w:pPr>
              <w:pStyle w:val="TableContents"/>
              <w:bidi w:val="0"/>
              <w:spacing w:before="0" w:after="0"/>
              <w:ind w:left="360" w:right="0" w:hanging="0"/>
              <w:jc w:val="center"/>
              <w:rPr/>
            </w:pPr>
            <w:r>
              <w:rPr/>
              <w:t> </w:t>
            </w:r>
          </w:p>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36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360" w:right="0" w:hanging="0"/>
              <w:jc w:val="center"/>
              <w:rPr>
                <w:rFonts w:ascii="Times New Roman;Times;serif" w:hAnsi="Times New Roman;Times;serif"/>
                <w:b/>
                <w:sz w:val="20"/>
              </w:rPr>
            </w:pPr>
            <w:r>
              <w:rPr>
                <w:rFonts w:ascii="Times New Roman;Times;serif" w:hAnsi="Times New Roman;Times;serif"/>
                <w:b/>
                <w:sz w:val="20"/>
              </w:rPr>
              <w:t>$ Change</w:t>
            </w:r>
          </w:p>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w:t>
            </w:r>
          </w:p>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160" w:right="0" w:hanging="0"/>
              <w:jc w:val="left"/>
              <w:rPr/>
            </w:pPr>
            <w:r>
              <w:rPr/>
              <w:t> </w:t>
            </w:r>
          </w:p>
        </w:tc>
        <w:tc>
          <w:tcPr>
            <w:tcW w:w="709" w:type="dxa"/>
            <w:gridSpan w:val="2"/>
            <w:tcBorders>
              <w:bottom w:val="single" w:sz="2" w:space="0" w:color="000000"/>
            </w:tcBorders>
            <w:tcMar>
              <w:bottom w:w="28" w:type="dxa"/>
            </w:tcMar>
            <w:vAlign w:val="center"/>
          </w:tcPr>
          <w:p>
            <w:pPr>
              <w:pStyle w:val="TableContents"/>
              <w:bidi w:val="0"/>
              <w:spacing w:before="0" w:after="0"/>
              <w:ind w:left="160" w:right="0" w:hanging="0"/>
              <w:jc w:val="center"/>
              <w:rPr>
                <w:rFonts w:ascii="Times New Roman;Times;serif" w:hAnsi="Times New Roman;Times;serif"/>
                <w:b/>
                <w:sz w:val="20"/>
              </w:rPr>
            </w:pPr>
            <w:r>
              <w:rPr>
                <w:rFonts w:ascii="Times New Roman;Times;serif" w:hAnsi="Times New Roman;Times;serif"/>
                <w:b/>
                <w:sz w:val="20"/>
              </w:rPr>
              <w:t xml:space="preserve">% </w:t>
            </w:r>
          </w:p>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w:t>
            </w:r>
          </w:p>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32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320" w:right="0" w:hanging="0"/>
              <w:jc w:val="center"/>
              <w:rPr/>
            </w:pPr>
            <w:r>
              <w:rPr/>
              <w:t> </w:t>
            </w:r>
          </w:p>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32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320" w:right="0" w:hanging="0"/>
              <w:jc w:val="center"/>
              <w:rPr/>
            </w:pPr>
            <w:r>
              <w:rPr/>
              <w:t> </w:t>
            </w:r>
          </w:p>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32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320" w:right="0" w:hanging="0"/>
              <w:jc w:val="center"/>
              <w:rPr/>
            </w:pPr>
            <w:r>
              <w:rPr/>
              <w:t> </w:t>
            </w:r>
          </w:p>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w:t>
            </w:r>
          </w:p>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709" w:type="dxa"/>
            <w:gridSpan w:val="2"/>
            <w:tcBorders>
              <w:bottom w:val="single" w:sz="2" w:space="0" w:color="000000"/>
            </w:tcBorders>
            <w:tcMar>
              <w:bottom w:w="28" w:type="dxa"/>
            </w:tcMar>
            <w:vAlign w:val="center"/>
          </w:tcPr>
          <w:p>
            <w:pPr>
              <w:pStyle w:val="TableContents"/>
              <w:bidi w:val="0"/>
              <w:spacing w:before="0" w:after="0"/>
              <w:ind w:left="160" w:right="0" w:hanging="0"/>
              <w:jc w:val="center"/>
              <w:rPr>
                <w:rFonts w:ascii="Times New Roman;Times;serif" w:hAnsi="Times New Roman;Times;serif"/>
                <w:b/>
                <w:sz w:val="20"/>
              </w:rPr>
            </w:pPr>
            <w:r>
              <w:rPr>
                <w:rFonts w:ascii="Times New Roman;Times;serif" w:hAnsi="Times New Roman;Times;serif"/>
                <w:b/>
                <w:sz w:val="20"/>
              </w:rPr>
              <w:t xml:space="preserve">% </w:t>
            </w:r>
          </w:p>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w:t>
            </w:r>
          </w:p>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6591" w:type="dxa"/>
            <w:gridSpan w:val="30"/>
            <w:tcBorders/>
            <w:vAlign w:val="center"/>
          </w:tcPr>
          <w:p>
            <w:pPr>
              <w:pStyle w:val="TableContents"/>
              <w:bidi w:val="0"/>
              <w:spacing w:before="0" w:after="0"/>
              <w:ind w:left="160" w:right="0" w:hanging="0"/>
              <w:jc w:val="center"/>
              <w:rPr>
                <w:rFonts w:ascii="Times New Roman;Times;serif" w:hAnsi="Times New Roman;Times;serif"/>
                <w:b/>
                <w:sz w:val="20"/>
              </w:rPr>
            </w:pPr>
            <w:r>
              <w:rPr>
                <w:rFonts w:ascii="Times New Roman;Times;serif" w:hAnsi="Times New Roman;Times;serif"/>
                <w:b/>
                <w:sz w:val="20"/>
              </w:rPr>
              <w:t>(In thousands, except percentages)</w:t>
            </w:r>
          </w:p>
        </w:tc>
        <w:tc>
          <w:tcPr>
            <w:tcW w:w="18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5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5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 increased for the three and six months ended June 30, 2026, as compared to 2025, primarily due to higher Niyad development expenses, reflecting increased enrollment.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Selling, General and Administrative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consist primarily of salaries, benefits and stock-based compensation for personnel engaged in commercialization, administration, finance and business development activities. Other significant expenses included allocated facility costs and professional fees for general legal, audit and consulting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selling, general and administrative expenses for the three and six months ended June 30, 2026 and 2025, were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1"/>
        <w:gridCol w:w="60"/>
        <w:gridCol w:w="145"/>
        <w:gridCol w:w="566"/>
        <w:gridCol w:w="69"/>
        <w:gridCol w:w="69"/>
        <w:gridCol w:w="145"/>
        <w:gridCol w:w="566"/>
        <w:gridCol w:w="69"/>
        <w:gridCol w:w="69"/>
        <w:gridCol w:w="286"/>
        <w:gridCol w:w="529"/>
        <w:gridCol w:w="69"/>
        <w:gridCol w:w="69"/>
        <w:gridCol w:w="226"/>
        <w:gridCol w:w="475"/>
        <w:gridCol w:w="185"/>
        <w:gridCol w:w="60"/>
        <w:gridCol w:w="125"/>
        <w:gridCol w:w="485"/>
        <w:gridCol w:w="60"/>
        <w:gridCol w:w="60"/>
        <w:gridCol w:w="125"/>
        <w:gridCol w:w="485"/>
        <w:gridCol w:w="60"/>
        <w:gridCol w:w="60"/>
        <w:gridCol w:w="221"/>
        <w:gridCol w:w="594"/>
        <w:gridCol w:w="60"/>
        <w:gridCol w:w="60"/>
        <w:gridCol w:w="144"/>
        <w:gridCol w:w="557"/>
        <w:gridCol w:w="191"/>
      </w:tblGrid>
      <w:tr>
        <w:trPr/>
        <w:tc>
          <w:tcPr>
            <w:tcW w:w="3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52" w:type="dxa"/>
            <w:gridSpan w:val="14"/>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96" w:type="dxa"/>
            <w:gridSpan w:val="14"/>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191" w:type="dxa"/>
            <w:tcBorders/>
            <w:vAlign w:val="center"/>
          </w:tcPr>
          <w:p>
            <w:pPr>
              <w:pStyle w:val="TableContents"/>
              <w:bidi w:val="0"/>
              <w:spacing w:before="0" w:after="283"/>
              <w:jc w:val="left"/>
              <w:rPr/>
            </w:pPr>
            <w:r>
              <w:rPr/>
              <w:t> </w:t>
            </w:r>
          </w:p>
        </w:tc>
      </w:tr>
      <w:tr>
        <w:trPr/>
        <w:tc>
          <w:tcPr>
            <w:tcW w:w="3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1" w:type="dxa"/>
            <w:tcBorders/>
            <w:vAlign w:val="center"/>
          </w:tcPr>
          <w:p>
            <w:pPr>
              <w:pStyle w:val="TableContents"/>
              <w:bidi w:val="0"/>
              <w:spacing w:before="0" w:after="283"/>
              <w:jc w:val="left"/>
              <w:rPr/>
            </w:pPr>
            <w:r>
              <w:rPr/>
              <w:t> </w:t>
            </w:r>
          </w:p>
        </w:tc>
      </w:tr>
      <w:tr>
        <w:trPr/>
        <w:tc>
          <w:tcPr>
            <w:tcW w:w="3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93" w:type="dxa"/>
            <w:gridSpan w:val="3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91" w:type="dxa"/>
            <w:tcBorders/>
            <w:vAlign w:val="center"/>
          </w:tcPr>
          <w:p>
            <w:pPr>
              <w:pStyle w:val="TableContents"/>
              <w:bidi w:val="0"/>
              <w:spacing w:before="0" w:after="283"/>
              <w:jc w:val="left"/>
              <w:rPr/>
            </w:pPr>
            <w:r>
              <w:rPr/>
              <w:t> </w:t>
            </w:r>
          </w:p>
        </w:tc>
      </w:tr>
      <w:tr>
        <w:trPr/>
        <w:tc>
          <w:tcPr>
            <w:tcW w:w="32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5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increased for the three months ended June 30, 2026, as compared to 2025, primarily due to a $0.3 million increase in expenses related to Niyad market research, a $0.1 million increase in board of director expenses as the board agreed to forego their cash compensation October 1, 2024 through September 30, 2025, and a net increase in other selling, general and administrative expenses of $0.1 million, partially offset by a $0.5 million decrease in legal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increased for the six months ended June 30, 2026, as compared to 2025, primarily due to an approximate $0.4 million increase in expenses related to Niyad market research, a $0.3 million increase in compensation and related expenses largely due to an increase in estimated bonuses and non-cash stock based compensation, a $0.2 million increase in board of director expenses as the board agreed to forego their cash compensation October 1, 2024 through September 30, 2025, and a net increase in other selling, general and administrative expenses of $0.1 million, partially offset by a $0.5 million decrease in legal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(Expense)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(expense) income, net for the three and six months ended June 30, 2026 and 2025, was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3"/>
        <w:gridCol w:w="60"/>
        <w:gridCol w:w="131"/>
        <w:gridCol w:w="416"/>
        <w:gridCol w:w="84"/>
        <w:gridCol w:w="62"/>
        <w:gridCol w:w="131"/>
        <w:gridCol w:w="352"/>
        <w:gridCol w:w="62"/>
        <w:gridCol w:w="62"/>
        <w:gridCol w:w="195"/>
        <w:gridCol w:w="620"/>
        <w:gridCol w:w="84"/>
        <w:gridCol w:w="62"/>
        <w:gridCol w:w="122"/>
        <w:gridCol w:w="812"/>
        <w:gridCol w:w="226"/>
        <w:gridCol w:w="60"/>
        <w:gridCol w:w="125"/>
        <w:gridCol w:w="487"/>
        <w:gridCol w:w="60"/>
        <w:gridCol w:w="60"/>
        <w:gridCol w:w="129"/>
        <w:gridCol w:w="347"/>
        <w:gridCol w:w="60"/>
        <w:gridCol w:w="60"/>
        <w:gridCol w:w="221"/>
        <w:gridCol w:w="594"/>
        <w:gridCol w:w="60"/>
        <w:gridCol w:w="60"/>
        <w:gridCol w:w="141"/>
        <w:gridCol w:w="794"/>
        <w:gridCol w:w="193"/>
      </w:tblGrid>
      <w:tr>
        <w:trPr/>
        <w:tc>
          <w:tcPr>
            <w:tcW w:w="3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5" w:type="dxa"/>
            <w:gridSpan w:val="14"/>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June 30,</w:t>
            </w:r>
          </w:p>
        </w:tc>
        <w:tc>
          <w:tcPr>
            <w:tcW w:w="2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98" w:type="dxa"/>
            <w:gridSpan w:val="14"/>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193" w:type="dxa"/>
            <w:tcBorders/>
            <w:vAlign w:val="center"/>
          </w:tcPr>
          <w:p>
            <w:pPr>
              <w:pStyle w:val="TableContents"/>
              <w:bidi w:val="0"/>
              <w:spacing w:before="0" w:after="283"/>
              <w:jc w:val="center"/>
              <w:rPr/>
            </w:pPr>
            <w:r>
              <w:rPr/>
              <w:t> </w:t>
            </w:r>
          </w:p>
        </w:tc>
      </w:tr>
      <w:tr>
        <w:trPr/>
        <w:tc>
          <w:tcPr>
            <w:tcW w:w="32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180" w:right="0" w:hanging="0"/>
              <w:jc w:val="center"/>
              <w:rPr/>
            </w:pPr>
            <w:r>
              <w:rPr/>
              <w:t> </w:t>
            </w:r>
          </w:p>
        </w:tc>
        <w:tc>
          <w:tcPr>
            <w:tcW w:w="547" w:type="dxa"/>
            <w:gridSpan w:val="2"/>
            <w:tcBorders>
              <w:bottom w:val="single" w:sz="2" w:space="0" w:color="000000"/>
            </w:tcBorders>
            <w:tcMar>
              <w:bottom w:w="28" w:type="dxa"/>
            </w:tcMar>
            <w:vAlign w:val="center"/>
          </w:tcPr>
          <w:p>
            <w:pPr>
              <w:pStyle w:val="TableContents"/>
              <w:bidi w:val="0"/>
              <w:spacing w:before="0" w:after="0"/>
              <w:ind w:left="180" w:right="0" w:hanging="0"/>
              <w:jc w:val="center"/>
              <w:rPr/>
            </w:pPr>
            <w:r>
              <w:rPr/>
              <w:t> </w:t>
            </w:r>
          </w:p>
          <w:p>
            <w:pPr>
              <w:pStyle w:val="TableContents"/>
              <w:bidi w:val="0"/>
              <w:spacing w:before="0" w:after="0"/>
              <w:ind w:left="180" w:right="0" w:hanging="0"/>
              <w:jc w:val="center"/>
              <w:rPr/>
            </w:pPr>
            <w:r>
              <w:rPr/>
              <w:t> </w:t>
            </w:r>
          </w:p>
          <w:p>
            <w:pPr>
              <w:pStyle w:val="TableContents"/>
              <w:bidi w:val="0"/>
              <w:spacing w:before="0" w:after="0"/>
              <w:ind w:left="1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84"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ind w:left="180" w:right="0" w:hanging="0"/>
              <w:jc w:val="center"/>
              <w:rPr/>
            </w:pPr>
            <w:r>
              <w:rPr/>
              <w:t> </w:t>
            </w:r>
          </w:p>
        </w:tc>
        <w:tc>
          <w:tcPr>
            <w:tcW w:w="483" w:type="dxa"/>
            <w:gridSpan w:val="2"/>
            <w:tcBorders>
              <w:bottom w:val="single" w:sz="2" w:space="0" w:color="000000"/>
            </w:tcBorders>
            <w:tcMar>
              <w:bottom w:w="28" w:type="dxa"/>
            </w:tcMar>
            <w:vAlign w:val="center"/>
          </w:tcPr>
          <w:p>
            <w:pPr>
              <w:pStyle w:val="TableContents"/>
              <w:bidi w:val="0"/>
              <w:spacing w:before="0" w:after="0"/>
              <w:ind w:left="180" w:right="0" w:hanging="0"/>
              <w:jc w:val="center"/>
              <w:rPr/>
            </w:pPr>
            <w:r>
              <w:rPr/>
              <w:t> </w:t>
            </w:r>
          </w:p>
          <w:p>
            <w:pPr>
              <w:pStyle w:val="TableContents"/>
              <w:bidi w:val="0"/>
              <w:spacing w:before="0" w:after="0"/>
              <w:ind w:left="180" w:right="0" w:hanging="0"/>
              <w:jc w:val="center"/>
              <w:rPr/>
            </w:pPr>
            <w:r>
              <w:rPr/>
              <w:t> </w:t>
            </w:r>
          </w:p>
          <w:p>
            <w:pPr>
              <w:pStyle w:val="TableContents"/>
              <w:bidi w:val="0"/>
              <w:spacing w:before="0" w:after="0"/>
              <w:ind w:left="1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ind w:left="180" w:right="0" w:hanging="0"/>
              <w:jc w:val="center"/>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180" w:right="0" w:hanging="0"/>
              <w:jc w:val="center"/>
              <w:rPr>
                <w:rFonts w:ascii="Times New Roman;Times;serif" w:hAnsi="Times New Roman;Times;serif"/>
                <w:b/>
                <w:sz w:val="20"/>
              </w:rPr>
            </w:pPr>
            <w:r>
              <w:rPr>
                <w:rFonts w:ascii="Times New Roman;Times;serif" w:hAnsi="Times New Roman;Times;serif"/>
                <w:b/>
                <w:sz w:val="20"/>
              </w:rPr>
              <w:t>$ Change</w:t>
            </w:r>
          </w:p>
          <w:p>
            <w:pPr>
              <w:pStyle w:val="TableContents"/>
              <w:bidi w:val="0"/>
              <w:spacing w:before="0" w:after="0"/>
              <w:ind w:left="1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vs. </w:t>
            </w:r>
          </w:p>
          <w:p>
            <w:pPr>
              <w:pStyle w:val="TableContents"/>
              <w:bidi w:val="0"/>
              <w:spacing w:before="0" w:after="0"/>
              <w:ind w:left="1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4"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ind w:left="80" w:right="0" w:hanging="0"/>
              <w:jc w:val="center"/>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sz w:val="20"/>
              </w:rPr>
            </w:pPr>
            <w:r>
              <w:rPr>
                <w:rFonts w:ascii="Times New Roman;Times;serif" w:hAnsi="Times New Roman;Times;serif"/>
                <w:b/>
                <w:sz w:val="20"/>
              </w:rPr>
              <w:t xml:space="preserve">% Change </w:t>
            </w:r>
          </w:p>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vs. </w:t>
            </w:r>
          </w:p>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2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160" w:right="0" w:hanging="0"/>
              <w:jc w:val="center"/>
              <w:rPr/>
            </w:pPr>
            <w:r>
              <w:rPr/>
              <w:t> </w:t>
            </w:r>
          </w:p>
        </w:tc>
        <w:tc>
          <w:tcPr>
            <w:tcW w:w="612" w:type="dxa"/>
            <w:gridSpan w:val="2"/>
            <w:tcBorders>
              <w:bottom w:val="single" w:sz="2" w:space="0" w:color="000000"/>
            </w:tcBorders>
            <w:tcMar>
              <w:bottom w:w="28" w:type="dxa"/>
            </w:tcMar>
            <w:vAlign w:val="center"/>
          </w:tcPr>
          <w:p>
            <w:pPr>
              <w:pStyle w:val="TableContents"/>
              <w:bidi w:val="0"/>
              <w:spacing w:before="0" w:after="0"/>
              <w:ind w:left="160" w:right="0" w:hanging="0"/>
              <w:jc w:val="center"/>
              <w:rPr/>
            </w:pPr>
            <w:r>
              <w:rPr/>
              <w:t> </w:t>
            </w:r>
          </w:p>
          <w:p>
            <w:pPr>
              <w:pStyle w:val="TableContents"/>
              <w:bidi w:val="0"/>
              <w:spacing w:before="0" w:after="0"/>
              <w:ind w:left="160" w:right="0" w:hanging="0"/>
              <w:jc w:val="center"/>
              <w:rPr/>
            </w:pPr>
            <w:r>
              <w:rPr/>
              <w:t> </w:t>
            </w:r>
          </w:p>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160" w:right="0" w:hanging="0"/>
              <w:jc w:val="center"/>
              <w:rPr/>
            </w:pPr>
            <w:r>
              <w:rPr/>
              <w:t> </w:t>
            </w:r>
          </w:p>
        </w:tc>
        <w:tc>
          <w:tcPr>
            <w:tcW w:w="476" w:type="dxa"/>
            <w:gridSpan w:val="2"/>
            <w:tcBorders>
              <w:bottom w:val="single" w:sz="2" w:space="0" w:color="000000"/>
            </w:tcBorders>
            <w:tcMar>
              <w:bottom w:w="28" w:type="dxa"/>
            </w:tcMar>
            <w:vAlign w:val="center"/>
          </w:tcPr>
          <w:p>
            <w:pPr>
              <w:pStyle w:val="TableContents"/>
              <w:bidi w:val="0"/>
              <w:spacing w:before="0" w:after="0"/>
              <w:ind w:left="160" w:right="0" w:hanging="0"/>
              <w:jc w:val="center"/>
              <w:rPr/>
            </w:pPr>
            <w:r>
              <w:rPr/>
              <w:t> </w:t>
            </w:r>
          </w:p>
          <w:p>
            <w:pPr>
              <w:pStyle w:val="TableContents"/>
              <w:bidi w:val="0"/>
              <w:spacing w:before="0" w:after="0"/>
              <w:ind w:left="160" w:right="0" w:hanging="0"/>
              <w:jc w:val="center"/>
              <w:rPr/>
            </w:pPr>
            <w:r>
              <w:rPr/>
              <w:t> </w:t>
            </w:r>
          </w:p>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160" w:right="0" w:hanging="0"/>
              <w:jc w:val="center"/>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160" w:right="0" w:hanging="0"/>
              <w:jc w:val="center"/>
              <w:rPr>
                <w:rFonts w:ascii="Times New Roman;Times;serif" w:hAnsi="Times New Roman;Times;serif"/>
                <w:b/>
                <w:sz w:val="20"/>
              </w:rPr>
            </w:pPr>
            <w:r>
              <w:rPr>
                <w:rFonts w:ascii="Times New Roman;Times;serif" w:hAnsi="Times New Roman;Times;serif"/>
                <w:b/>
                <w:sz w:val="20"/>
              </w:rPr>
              <w:t>$ Change</w:t>
            </w:r>
          </w:p>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vs. </w:t>
            </w:r>
          </w:p>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80" w:right="0" w:hanging="0"/>
              <w:jc w:val="center"/>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sz w:val="20"/>
              </w:rPr>
            </w:pPr>
            <w:r>
              <w:rPr>
                <w:rFonts w:ascii="Times New Roman;Times;serif" w:hAnsi="Times New Roman;Times;serif"/>
                <w:b/>
                <w:sz w:val="20"/>
              </w:rPr>
              <w:t xml:space="preserve">% Change </w:t>
            </w:r>
          </w:p>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vs. </w:t>
            </w:r>
          </w:p>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193" w:type="dxa"/>
            <w:tcBorders/>
            <w:vAlign w:val="center"/>
          </w:tcPr>
          <w:p>
            <w:pPr>
              <w:pStyle w:val="TableContents"/>
              <w:bidi w:val="0"/>
              <w:spacing w:before="0" w:after="283"/>
              <w:jc w:val="left"/>
              <w:rPr/>
            </w:pPr>
            <w:r>
              <w:rPr/>
              <w:t> </w:t>
            </w:r>
          </w:p>
        </w:tc>
      </w:tr>
      <w:tr>
        <w:trPr/>
        <w:tc>
          <w:tcPr>
            <w:tcW w:w="3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80" w:right="0" w:hanging="0"/>
              <w:jc w:val="left"/>
              <w:rPr/>
            </w:pPr>
            <w:r>
              <w:rPr/>
              <w:t> </w:t>
            </w:r>
          </w:p>
        </w:tc>
        <w:tc>
          <w:tcPr>
            <w:tcW w:w="6679" w:type="dxa"/>
            <w:gridSpan w:val="30"/>
            <w:tcBorders/>
            <w:vAlign w:val="center"/>
          </w:tcPr>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93" w:type="dxa"/>
            <w:tcBorders/>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8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8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1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gain on 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2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8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8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and other income, net, for the three and six months ended June 30, 2026 and 2025, primarily consisted of interest earned on our investments, which increased primarily due to higher average investment balances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gain on change in fair value of warrant liability for the three and six months ended June 30, 2026 was due to a $0.6 million increase and $0.7 million decrease in the fair value of our warrant liability, respectively, as compared to decreases of $0.1 million and $0.3 million in the fair value of our warrant liability, for the three and six months ended June 30, 2025, respectively, primarily due to changes in our stock price in all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we had cash, cash equivalents and investments totaling $17.1 million, compared to $20.4 million as of December 31, 2025. Our cash and investment balances are held in a variety of interest-bearing instruments. Cash in excess of immediate requirements is invested with a view toward capital preservation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date, we have incurred losses and generated negative cash flows from operations and we expect to incur significant losses in 2026 and may incur significant losses and negative cash flows from operations in the future. Although we raised additional capital during the six months ended June 30, 2026 through the sale of common stock and pre-funded warrants in the third closing of our April 2025 private placement (see Note 6, “Stockholders’ Equity” and Note 7, “Warrants” to our unaudited condensed consolidated financial statements in this Quarterly Report on Form 10-Q for additional information), considering our current cash resources and current and expected levels of operating expenses for the next twelve months, we expect to need additional capital to fund our planned operations prior to the twelve-month anniversary of the filing date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seek to raise such additional capital through public or private equity offerings, the issuance of debt securities, a new debt facility, or entering into product development, license or distribution agreements with third parties. Our existing capital resources will not be sufficient to fund our operations until such time as we may be able to generate sufficient revenues to sustain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we believe our plans to raise additional funds will alleviate the conditions that raise substantial doubt about our ability to continue as a going concern, these plans are not entirely within our control and cannot be assessed as being probable of occurring. Additional funds may not be available when we need them on terms that are acceptable to us, or at all. If adequate funds are not available, we may be required to further reduce our workforce, delay, reduce the scope of, or cease, the development of our product candidates in advance of the date on which our cash resources are exhausted to ensure that we have sufficient capital to meet our obligations and continue on a path designed to preserve stockholder value. In addition, if we raise additional funds through collaborations, strategic alliances or licensing arrangements with third parties, we may have to relinquish rights to our technologies, future revenue streams or product candidates, or to grant licenses on terms that may not be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Nasdaq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March 2026, the Listing Qualifications Staff, or the Staff, of the Nasdaq Stock Market, or Nasdaq, notified us that the bid price for our common stock had closed below $1.00 per share for 30 consecutive trading days and, as a result, we no longer satisfied Nasdaq’s minimum bid price requirement. On July 9, 2026, the Staff notified us that we had regained compliance with the minimum price requirement, as the closing bid price of our common stock had been at least $1.00 per share for a minimum of 10 consecutive trading days ending July 7, 2026, and that the matter relating to our previous failure to meet such requirement had been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Cash Flows </w:t>
      </w:r>
    </w:p>
    <w:p>
      <w:pPr>
        <w:pStyle w:val="TextBody"/>
        <w:bidi w:val="0"/>
        <w:spacing w:before="0" w:after="0"/>
        <w:ind w:left="0" w:right="0" w:hanging="0"/>
        <w:jc w:val="left"/>
        <w:rPr>
          <w:caps w:val="false"/>
          <w:smallCaps w:val="false"/>
        </w:rPr>
      </w:pPr>
      <w:r>
        <w:rPr>
          <w:caps w:val="false"/>
          <w:smallCaps w:val="false"/>
        </w:rPr>
        <w:t> </w:t>
      </w:r>
    </w:p>
    <w:tbl>
      <w:tblPr>
        <w:tblW w:w="5848" w:type="dxa"/>
        <w:jc w:val="left"/>
        <w:tblInd w:w="0" w:type="dxa"/>
        <w:tblLayout w:type="fixed"/>
        <w:tblCellMar>
          <w:top w:w="0" w:type="dxa"/>
          <w:left w:w="0" w:type="dxa"/>
          <w:bottom w:w="0" w:type="dxa"/>
          <w:right w:w="0" w:type="dxa"/>
        </w:tblCellMar>
      </w:tblPr>
      <w:tblGrid>
        <w:gridCol w:w="3365"/>
        <w:gridCol w:w="60"/>
        <w:gridCol w:w="198"/>
        <w:gridCol w:w="863"/>
        <w:gridCol w:w="126"/>
        <w:gridCol w:w="95"/>
        <w:gridCol w:w="198"/>
        <w:gridCol w:w="863"/>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8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(7,324</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discussion of our cash flows that follows includes the impact of discontinued operations. For additional information, see Note 3, “Discontinued Operations” to the unaudited condensed consolidated financial statements in this Quarterly Report on Form 10-Q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Cash Flows from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primary use of cash for our operating activities during these periods was to support our product development efforts for our product candidates. Our cash used in operating activities also reflects changes in our working capital, net of adjustments for non-cash charges, such as changes in the fair value of our warrant liability and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operating activities of $7.3 million during the six months ended June 30, 2026, reflected a net loss of $6.9 million. Significant non-cash adjustments included $0.5 million in stock-based compensation expense and a $0.7 million decrease in the fair value of our warrant liability. The net change in our operating assets and liabilities was primarily due to a $0.4 million increase in prepaid expenses and other current assets, a $0.2 million decrease in accounts payable and a $0.5 million increase in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operating activities of $6.4 million during the six months ended June 30, 2025, reflected a net loss of $6.1 million, and included an approximate $0.4 million net change in our operating assets and liabilities. Significant non-cash adjustments included $0.4 million in stock-based compensation expense, and a $0.3 million decrease in the fair value of our warrant liability. The net change in our operating assets and liabilities was primarily due to a $0.4 million increase in prepaid expenses and other current assets, a $0.2 million increase in accounts payable and a $0.2 million decrease in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Cash Flows from Investing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investing activities have consisted primarily of purchases and sales and maturities of our available-for-sale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cash used in investing activities of $1.6 million was primarily the net result of $17.2 million in purchases of investments and $15.6 million in proceeds from sales and maturities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Cash Flows from 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 primarily reflect proceeds from the sale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cash provided by financing activities of $3.8 million was primarily due to cash received from the third closing of the April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2025, cash provided by financing activities of $4.3 million was primarily due to net proceeds from the April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Capital Commitments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current operating plan includes expenditures related to the development of our product candidates. Our operating plan includes anticipated activities required for the development and supply of our nafamostat product candidates. These assumptions may change as a result of many factors. We will continue to evaluate the work necessary to gain approval of our product candidates in the United States and intend to update our cash forecasts accordingly. Considering our current cash resources and current and expected levels of operating expenses for the next twelve months, we expect to need additional capital to fund our planned operations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future capital requirements may vary materially from our expectations based on numerous factors,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110"/>
        <w:gridCol w:w="78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to timely and successfully complete our clinical trial for the Niyad product candidate;</w:t>
            </w:r>
          </w:p>
        </w:tc>
      </w:tr>
    </w:tbl>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60"/>
        <w:gridCol w:w="110"/>
        <w:gridCol w:w="75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outcome, timing and cost of the development of our other nafamostat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related to drafting and submission of new drug or device regulatory applications with the FDA for our developmental product candidates and payment of statutory filing fees and related application prosecution costs arising from such submissions;</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10"/>
        <w:gridCol w:w="6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associated with business development activities and licensing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outcome and timing of the regulatory submissions for our product candidates and any approvals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60"/>
        <w:gridCol w:w="110"/>
        <w:gridCol w:w="77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related to the potential commercialization of our product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60"/>
        <w:gridCol w:w="110"/>
        <w:gridCol w:w="98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initiation, progress, timing and completion of any post-approval clinical trials for our product candidates, if approved;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500" w:type="dxa"/>
        <w:jc w:val="left"/>
        <w:tblInd w:w="0" w:type="dxa"/>
        <w:tblLayout w:type="fixed"/>
        <w:tblCellMar>
          <w:top w:w="0" w:type="dxa"/>
          <w:left w:w="0" w:type="dxa"/>
          <w:bottom w:w="0" w:type="dxa"/>
          <w:right w:w="0" w:type="dxa"/>
        </w:tblCellMar>
      </w:tblPr>
      <w:tblGrid>
        <w:gridCol w:w="60"/>
        <w:gridCol w:w="110"/>
        <w:gridCol w:w="83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focus and direction of our business strategy and/or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10"/>
        <w:gridCol w:w="52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that may be caused by changing regulatory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60"/>
        <w:gridCol w:w="110"/>
        <w:gridCol w:w="87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involved in filing and prosecuting patent applications and enforcing and defending patent claims;</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60"/>
        <w:gridCol w:w="110"/>
        <w:gridCol w:w="59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and terms of future in-licensing and out-licensing transactions;</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110"/>
        <w:gridCol w:w="78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and timing of establishing sales, marketing, manufacturing and distribution capabilities;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impact of trade laws and regulations of the United States associated with the use of our contract development and manufacturing organization, or CDMO, for nafamostat-based finished goods located in China;</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60"/>
        <w:gridCol w:w="110"/>
        <w:gridCol w:w="83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procuring clinical supplies of our product candidates, and commercial supplies,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establishing new supply chains and related third party logistics to support our developmental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0"/>
        <w:gridCol w:w="110"/>
        <w:gridCol w:w="87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we acquire or invest in businesses, products and product candidates or technologies; and</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60"/>
        <w:gridCol w:w="110"/>
        <w:gridCol w:w="32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expenses associated with litigation.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long term, our existing capital resources will not be sufficient to fund our operations until such time as we may be able to generate sufficient revenues to sustain our operations. We will have to raise additional funds through the sale of our equity securities, monetization of current and future assets, issuance of debt or debt-like securities or from development and licensing arrangements to sustain our operations and continue our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Please see “Part II., Item 1A. Risk Factors—Risks Related to Our Financial Condition and Need for Additional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smaller reporting company as defined by Rule 12b-2 of the Exchange Act and are not required to provide the information specified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4.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maintain disclosure controls and procedures (as defined in Exchange Act Rule 13a–15(e) and 15d-15(e))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Evaluation of disclosure controls and procedures. </w:t>
      </w:r>
      <w:r>
        <w:rPr>
          <w:rFonts w:ascii="Times New Roman" w:hAnsi="Times New Roman"/>
          <w:caps w:val="false"/>
          <w:smallCaps w:val="false"/>
          <w:sz w:val="20"/>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Quarterly Report on Form 10-Q. Based on the foregoing, our Chief Executive Officer and Chief Financial Officer concluded that our disclosure controls and procedures were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Changes in internal control over financial reporting. </w:t>
      </w:r>
      <w:r>
        <w:rPr>
          <w:rFonts w:ascii="Times New Roman" w:hAnsi="Times New Roman"/>
          <w:caps w:val="false"/>
          <w:smallCaps w:val="false"/>
          <w:sz w:val="20"/>
        </w:rPr>
        <w:t>There have been no changes in our internal control over financial reporting that occurred during the period covered by this Quarterly Report on Form 10-Q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PART II. 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may be involved in legal proceedings relating to intellectual property, commercial, employment and other matters arising in the ordinary course of business. Such matters are subject to uncertainty and there can be no assurance that such legal proceedings will not have a material adverse effect on our business, results of operations, financial position or cash flows. Please see discussion under the caption “Part I. Financial Information—Item 1. Financial Statements—Note 5, Commitments and Contingencies—Litigation”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This Quarterly Report on Form 10-Q contains forward-looking information based on our current expectations. Because our actual results may differ materially from any forward-looking statements made by or on behalf of us, this section includes a discussion of important factors that could affect our actual future results, including, but not limited to, our revenues, expenses, net loss and loss per share. You should carefully consider these risk factors, together with all of the other information included in this Quarterly Report on Form 10-Q as well as our other publicly available filings with the U.S. Securities and Exchange Commission, or SEC.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Summary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business is subject to numerous risks, as more fully described in this section below this summary. You should read these risks before you invest in our common stock. We may be unable, for many reasons, including those that are beyond our control, to implement our business strategy. In particular, our risks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There is substantial doubt regarding our ability to continue as a going concern. We require additional capital and may be unable to raise such capital, which would force us to delay, reduce or eliminate our commercialization efforts and product development programs and could cause us to be unable to continue to operate as a going concern and cease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fail to realize the benefits expected from our acquisition of Lowell Therapeutics, Inc., or Lowell, which could adversely affect our stock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clinical trials are common and have many causes, and any delay could result in increased costs to us and jeopardize or delay our ability to obtain regulatory approval and commence product sales.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60"/>
        <w:gridCol w:w="170"/>
        <w:gridCol w:w="9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fail to properly conduct and/or successfully complete our clinical trial for our lead product candidate, Niyad.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experience delays or difficulties in enrolling patients in clinical trials, our receipt of necessary regulatory approvals could be delayed or prevented.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serious adverse effects or unexpected characteristics of our product candidates are identified during development, we may need to abandon or limit the development of some or all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expend our limited resources to pursue a particular product candidate or indication and fail to capitalize on product candidates or indications that may be more profitable or for which there is a greater likelihood of success.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process for obtaining approval of a Premarket Approval, or PMA, application or New Drug Application, or NDA, is time consuming, subject to unanticipated delays and costs, and requires the commitment of substantial resources.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expectations for U.S. Food and Drug Administration, or FDA, approvability of our product candidates may be inaccurate.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or current and potential partners, are unable to compete effectively, our products may not reach their commercial potential.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Coverage and adequate reimbursement may not be available for our product candidates, if approved, in the United States and in Europe, which could make it difficult for us, or our partners, to sell our products profitably.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and other regulatory agencies actively enforce the laws and regulations prohibiting the promotion of off-label uses.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or our partners are unable to establish and maintain relationships with group purchasing organizations any future revenues or future profitability could be jeopardized.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Existing and future legislation may increase the difficulty and cost for us to commercialize our products and affect the prices we may obtain.</w:t>
            </w:r>
          </w:p>
        </w:tc>
      </w:tr>
    </w:tbl>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60"/>
        <w:gridCol w:w="170"/>
        <w:gridCol w:w="9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have incurred significant losses since our inception and anticipate that we will continue to incur losses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fund our operations, and capital requirements, we may sell additional equity securities, which may result in dilution to our stockholders, or debt securities, which may impose restrictions on our business.</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170"/>
        <w:gridCol w:w="6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have not yet generated significant product revenue and may never be profitable.</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60"/>
        <w:gridCol w:w="170"/>
        <w:gridCol w:w="8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rely on third party manufacturers and suppliers for our product candidates in Asia and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rely on single sources of supply for the active ingredient and finished product for our nafamostat-based product candidates and any disruptions in the chain of supply may cause a delay in developing our product candidates.</w:t>
            </w:r>
          </w:p>
        </w:tc>
      </w:tr>
    </w:tbl>
    <w:p>
      <w:pPr>
        <w:pStyle w:val="TextBody"/>
        <w:bidi w:val="0"/>
        <w:spacing w:before="0" w:after="0"/>
        <w:ind w:left="0" w:right="0" w:hanging="0"/>
        <w:jc w:val="left"/>
        <w:rPr/>
      </w:pPr>
      <w:r>
        <w:rPr/>
        <w:t> </w:t>
      </w:r>
    </w:p>
    <w:tbl>
      <w:tblPr>
        <w:tblW w:w="10165" w:type="dxa"/>
        <w:jc w:val="left"/>
        <w:tblInd w:w="0" w:type="dxa"/>
        <w:tblLayout w:type="fixed"/>
        <w:tblCellMar>
          <w:top w:w="0" w:type="dxa"/>
          <w:left w:w="0" w:type="dxa"/>
          <w:bottom w:w="0" w:type="dxa"/>
          <w:right w:w="0" w:type="dxa"/>
        </w:tblCellMar>
      </w:tblPr>
      <w:tblGrid>
        <w:gridCol w:w="60"/>
        <w:gridCol w:w="170"/>
        <w:gridCol w:w="9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issues may arise that could delay or increase costs related to product development and regulatory approval.</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17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rely on third parties to conduct, supervise and monitor our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relationships with clinical investigators, health care professionals, consultants, commercial partners, third-party payers, hospitals, and other customers are subject to applicable anti-kickback, fraud and abuse and other healthcare laws, which could expose us to significant penalties.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disruptions of our information technology systems or data security incidents could result in significant financial, legal, regulatory, business and reputational harm to us.</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70"/>
        <w:gridCol w:w="5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interruptions could delay our operations and sales efforts.</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60"/>
        <w:gridCol w:w="170"/>
        <w:gridCol w:w="9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future success depends on our ability to retain key executives and to attract, retain and motivate qualified personnel.</w:t>
            </w:r>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60"/>
        <w:gridCol w:w="170"/>
        <w:gridCol w:w="9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involving patents, patent applications and other proprietary rights is expensive and time consuming.</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60"/>
        <w:gridCol w:w="170"/>
        <w:gridCol w:w="6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not be able to enforce our intellectual property rights throughout the world.</w:t>
            </w:r>
          </w:p>
        </w:tc>
      </w:tr>
    </w:tbl>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60"/>
        <w:gridCol w:w="170"/>
        <w:gridCol w:w="8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market price of our common stock has historically been and may continue to be highly volatile.</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60"/>
        <w:gridCol w:w="170"/>
        <w:gridCol w:w="9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a substantial number of shares of our common stock in the public market could cause our stock price to fall.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Macroeconomic uncertainties, including inflationary pressures, supply chain disruptions, labor shortages, significant volatility in global markets and recession risks have in the past and may continue to adversely affect our business, future results of operations, and financial condition, the effects of which remain uncertain.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Our Financial Condition and Need for Additional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have incurred significant losses since our inception and anticipate that we will continue to incur losses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incurred significant net losses since our inception in July 2005. In addition, we have generated negative cash flows from operations and we expect to incur significant losses in 2026 and the foreseeable future. These conditions raise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devoted most of our financial resources to research and development, including our non-clinical development activities and clinical trials. To date, we have financed our operations primarily through the issuance of equity securities, borrowings and royalty financings. The size of our future net losses will depend, in part, on the rate of future expenditures and our ability to generate revenues. We expect to continue to incur substantial expenses as we support research and development activities for our product candidates. If our product candidates are not successfully developed or commercialized in the U.S., or if revenues are insufficient following marketing approval, we will not achieve profitability and our business may fail. Our success is also dependent on current and future collaborations to market our products outside of the United States, which may not materialize or prove to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require additional capital and may be unable to raise such capital, which would force us to delay, reduce or eliminate our product development programs and commercialization efforts and could cause us to be unable to continue to operate as a going concern and cease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Launch of a commercial pharmaceutical or medical device product and the required development activities associated with those products can be time consuming and costly. We expect to incur significant expenditures in connection with supporting our research and development activities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trials, regulatory reviews, and the launch of a commercial product are expensive activities. In addition, commercialization costs for our product candidates, if approved, in the United States may be significantly higher than estimated as a result of technical difficulties or otherwise. Revenues may be lower than expected and costs to produce such revenues may exceed those revenues. We will need to seek additional capital to continue operations. Such capital demands could be substantial. In the future, we may seek to raise such additional capital through public or private equity offerings, debt securities, a new debt facility, monetizing or securitizing certain assets, entering into product development, license or distribution agreements with third parties, or divesting any of our product candidates. Such arrangements may not be available on favorable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unsuccessful in efforts to raise additional capital, based on our current levels of operating expenses, our current capital is not expected to be sufficient to fund our operations for the next twelve months. These conditions raise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for the three and six months ended June 30, 2026, were prepared on the basis of a going concern, which contemplates that we will be able to realize our assets and discharge liabilities in the normal course of business. These financial statements do not include any adjustments that might be necessary if we are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Future events and circumstances, including those beyond our control, may cause us to consume capital more rapidly than we currently anticipate. Furthermore, any product development, licensing, distribution or sale agreements that we enter into may require us to relinquish valuable rights. We may not be able to obtain sufficient additional funding or enter into a strategic transaction in a timely manner. If adequate funds are not available, we would be required to reduce our workforce, reduce the scope of, or cease, the development and subsequent potential commercial launch of our product candidates in advance of the date on which we exhaust our cash resources to ensure that we have sufficient capital to meet our obligations and continue on a path designed to preserve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Securing additional financing may divert our management from our day-to-day activities, which may adversely affect our ability to develop our product candidates. In addition, we cannot guarantee that future financing will be available in sufficient amounts or on terms acceptable to us, if at all. If we are unable to raise additional capital when required or on acceptable terms, we may be required to:</w:t>
      </w:r>
    </w:p>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10"/>
        <w:gridCol w:w="62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further scale back or discontinue the development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seek corporate partners for our product candidates on terms that might be less favorable than might otherwise be available;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relinquish, or license on unfavorable terms, our rights to technologies, products or product candidates that we otherwise would seek to develop or commercialize ourselves.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past several years, domestic and international financial markets have experienced, and they may continue to experience, extreme disruption from time to time, including, among other things, high volatility, significant declines in stock prices and severely diminished liquidity and credit availability for both borrowers and investors. Such adverse capital and credit market conditions could make it more difficult to obtain additional capital on favorable terms, or at all, which could have a material adverse effect on our business and growth prospects. For example, our ability to raise additional capital may be adversely impacted by deteriorating global economic conditions and the disruptions to and volatility in the credit and financial markets in the U.S. and worldwide resulting from the ongoing military conflicts between Hamas and Israel, and between Russia and Ukraine and related sanctions imposed against Russia.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To fund our operations and capital requirements, we may sell additional equity securities, which may result in dilution to our stockholders, or debt securities, or enter into a new debt facility which may impose restrictions on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that significant additional capital will be needed in the future to continue our planned operations and capital requirements. In the long-term, our existing capital resources will not be sufficient to fund our operations until such time as we may be able to generate sufficient revenues to sustain our operations. In order to raise additional funds to support our operations, we may sell additional equity securities. We may sell common stock, convertible securities, or other equity securities in one or more transactions at prices and in a manner we determine from time to time. Selling additional equity securities may result in dilution to our existing stockholders and new investors may be materially diluted by subsequent sales. Incurring additional indebtedness, including through the sale of debt securities or entering into a new debt facility, would result in increased fixed payment obligations and could also result in additional restrictive covenants, such as limitations on our ability to incur additional debt, limitations on our ability to acquire, sell or license intellectual property rights and other operating restrictions, such as minimum cash balances, that could adversely impact our ability to conduct our business. Sales of equity or debt securities may also provide new investors with rights superior to our existing stockholders. If we are unable to expand our operations or otherwise capitalize on our business opportunities, our business, financial condition and results of operations could be materially adversely affected, and we may not be able to meet our debt service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have not yet generated significant product revenue and may never be profitable.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generate revenue from commercial sales and/or royalties and achieve profitability depends on our ability, alone and with collaborators, to successfully complete the development of, obtain the necessary regulatory approvals for, and commercialize our products. We do not anticipate generating significant near-term revenues from our product candidates, if approved, in the United States. Our ability to generate future revenues from product sales depends heavily on the success in:</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60"/>
        <w:gridCol w:w="110"/>
        <w:gridCol w:w="80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and maintaining regulatory approval for our product candidates in the United States;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launching and commercializing our product candidates, if approved, in the United States by building, internally or through collaborations, an institutionally focused sales force, which may require additional funding.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the numerous risks and uncertainties associated with launching a commercial pharmaceutical or medical device product, necessary product development activities and the regulatory environment, we are unable to predict the timing or amount of increased expenses, or when, or if, we will be able to achieve or maintain profitability. Our expenses could increase beyond expectations if we are delayed in receiving regulatory approval for our product candidates in the United States, or if we are required by the FDA to complete activities in addition to those we currently anticipate or have already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October 2024, Alora notified us that they had discontinued their DSUVIA sales efforts to non-DoD customers.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were also notified in 2025 that Alora submitted a letter to the FDA to request the withdrawal of the DSUVIA NDA. While we have continued our efforts to facilitate sales of the remaining DSUVIA inventory held by Alora to the DoD, we have not obtained any orders from the DoD to purchase the remaining product available. If there are no orders for DSUVIA purchases from the DoD we expect that Alora will destroy the remaining DSUVIA inventory. We attempted to facilitate a longer-term supply arrangement for DSUVIA but were unsuccessful and do not believe there are any prospective parties currently interested in producing DSUVIA for commercial or DoD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Drug Development and Commercialization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fail to realize the benefits expected from our acquisition of Lowell, which could adversely affect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acquisition of Lowell is our largest acquisition to date. Our primary business strategy is focused on developing, obtaining approval, and commercializing our product candidates, including Niyad and LTX-608 that we acquired from Lowell. The anticipated benefits we expect from this acquisition are, necessarily, based on projections and assumptions about the combined businesses of our company and Lowell, which may not materialize as expected or which may prove to be inaccurate. The value of our common stock could be adversely affected if we are unable to realize the anticipated benefits from the acquisition on a timely basis or at all. Achieving the benefits of the acquisition of Lowell will depend, in part, on our ability to continue to integrate the business, operations and products of Lowell successfully and efficiently with our business. The challenges involved in this integration include, but are not limited to, (i) difficulties entering new markets and integrating new product candidates with which we have no or limited direct prior experience; and (ii) successfully managing relationships with our combined supplier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failure to identify or accurately assess the magnitude of certain liabilities we assumed in the acquisition could result in unexpected litigation or regulatory exposure, unfavorable accounting charges, unexpected increases in taxes due, a loss of anticipated tax benefits or other adverse effects on our business, operating results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Delays in clinical trials are common and have many causes, and any delay could result in increased costs to us and jeopardize or delay our ability to obtain regulatory approval and commence product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experienced and may in the future experience delays in clinical trials of our product candidates. For example, to date, our NEPHRO CRRT clinical trial has had slower than expected site initiation and patient enrollment. Our FDA-required clinical trials for our product candidates could be delayed for a variety of reasons, including:</w:t>
      </w:r>
    </w:p>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10"/>
        <w:gridCol w:w="52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raise funding necessary to initiate or continue a trial;</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0"/>
        <w:gridCol w:w="110"/>
        <w:gridCol w:w="35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pay significant FDA filing fees;</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60"/>
        <w:gridCol w:w="110"/>
        <w:gridCol w:w="49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obtaining regulatory approval to commence a trial;</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60"/>
        <w:gridCol w:w="110"/>
        <w:gridCol w:w="52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reaching agreement with the FDA on final trial design;</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110"/>
        <w:gridCol w:w="8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imposition of a clinical hold by the FDA, Institutional Review Board, or IRB, or other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reaching agreement on acceptable terms with prospective contract research organizations, or CROs, and clinical trial sites;</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60"/>
        <w:gridCol w:w="110"/>
        <w:gridCol w:w="44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obtaining required IRB approval at each site;</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60"/>
        <w:gridCol w:w="110"/>
        <w:gridCol w:w="57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recruiting suitable patients or subjects to participate in a trial;</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60"/>
        <w:gridCol w:w="110"/>
        <w:gridCol w:w="77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having patients complete participation in a trial or return for post-treatment follow-up;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sites dropping out of a trial to the detriment of enrollment or being delayed in entering data to allow for clinical trial database closure;</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
        <w:gridCol w:w="110"/>
        <w:gridCol w:w="31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required to add new clinical sites;</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110"/>
        <w:gridCol w:w="85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by our contract manufacturers to produce and deliver sufficient supply of clinical trial materials;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supply or quality of our product candidates or other materials necessary to conduct clinical trials of our product candidates may be insufficient or inadequate.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future FDA-required clinical trials are delayed for any reason, our development costs may increase, our approval process for our product candidates could be delayed, our ability to commercialize and commence sales of our product candidates could be materially harmed,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development efforts might not generate successful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plan to invest a significant portion of our efforts and financial resources in the identification or asset acquisition of our product candidates. Our ability to generate product revenue from our product candidates, which may not occur for many years, if ever, will depend heavily on the successful development and eventual commercialization of these product candidates. The success of these product candidates and any other product candidates we may develop, in-license or acquire will depend on many factors, including the following:</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10"/>
        <w:gridCol w:w="4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 enrollment in, and completion of,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980" w:type="dxa"/>
        <w:jc w:val="left"/>
        <w:tblInd w:w="0" w:type="dxa"/>
        <w:tblLayout w:type="fixed"/>
        <w:tblCellMar>
          <w:top w:w="0" w:type="dxa"/>
          <w:left w:w="0" w:type="dxa"/>
          <w:bottom w:w="0" w:type="dxa"/>
          <w:right w:w="0" w:type="dxa"/>
        </w:tblCellMar>
      </w:tblPr>
      <w:tblGrid>
        <w:gridCol w:w="60"/>
        <w:gridCol w:w="110"/>
        <w:gridCol w:w="2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demonstrating safety and efficacy;</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60"/>
        <w:gridCol w:w="110"/>
        <w:gridCol w:w="56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marketing approvals from applicable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60"/>
        <w:gridCol w:w="110"/>
        <w:gridCol w:w="87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commercial manufacturing capabilities or making arrangements with third-party manufacturers;</w:t>
            </w:r>
          </w:p>
        </w:tc>
      </w:tr>
    </w:tbl>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60"/>
        <w:gridCol w:w="110"/>
        <w:gridCol w:w="94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and maintaining patent and trade secret protection and non-patent exclusivity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10"/>
        <w:gridCol w:w="76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developing a sales and marketing organization or outsourcing these functions to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launching commercial sales of the product candidates, if and when approved, whether alone or selectively in collaboration with others;</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110"/>
        <w:gridCol w:w="97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acceptance of the product candidates, if and when approved, by patients, the medical community and third-party payers;</w:t>
            </w:r>
          </w:p>
        </w:tc>
      </w:tr>
    </w:tbl>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10"/>
        <w:gridCol w:w="34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effectively competing with other products;</w:t>
            </w:r>
          </w:p>
        </w:tc>
      </w:tr>
    </w:tbl>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60"/>
        <w:gridCol w:w="110"/>
        <w:gridCol w:w="59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continued acceptable safety profile of the products following approval;</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10"/>
        <w:gridCol w:w="55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enforcing and defending intellectual property rights and claims; and</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60"/>
        <w:gridCol w:w="110"/>
        <w:gridCol w:w="59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legal, regulatory, compliance, privacy, and fraud and abuse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do not accomplish one or more of these goals in a timely manner, or at all, we could experience significant delays or an inability to successfully commercialize our product candidates, which would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Before obtaining marketing approval from regulatory authorities for the sale of our product candidates, we must conduct extensive clinical trials to demonstrate the safety and efficacy of our product candidates in humans. Clinical testing is expensive, difficult to design and implement, can take many years to complete and is uncertain as to outcome. A failure of one or more clinical trials could occur at any stage of testing. The outcome of early clinical trials may not be predictive of the success of later clinical trials, and interim results of a particular clinical trial do not necessarily predict final results of that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Moreover, clinical data is often susceptible to multiple interpretations and analyses. Many companies that have believed their product candidates performed satisfactorily in preclinical studies and clinical trials have nonetheless failed to obtain marketing approval of their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experience numerous unforeseen events during, or as a result of, clinical trials that could delay or prevent our ability to receive marketing approval or commercialize our product candidates, including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regulators or institutional review boards may not authorize us or our investigators to commence a clinical trial or conduct a clinical trial at a prospective trial site;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have delays in reaching or fail to reach agreement on acceptable clinical trial contracts or clinical trial protocols with prospective trial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 of our product candidates may produce negative or inconclusive results, and we may decide, or regulators may require us, to conduct additional clinical trials or abandon product development programs;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third-party contractors may fail to comply with regulatory requirements or meet their contractual obligations to us in a timely manner, or at 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tc>
      </w:tr>
    </w:tbl>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0"/>
        <w:gridCol w:w="110"/>
        <w:gridCol w:w="72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clinical trials of our product candidates may be greater than we anticipate;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supply or quality of our product candidates or other materials necessary to conduct clinical trials of our product candidates may be insufficient or inadequate.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10"/>
        <w:gridCol w:w="58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 delayed in obtaining marketing approval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110"/>
        <w:gridCol w:w="30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obtain marketing approval at all;</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10"/>
        <w:gridCol w:w="79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 approval for indications or patient populations that are not as broad as intended or desired;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 approval with labeling that includes significant use or distribution restrictions or safety warnings, including boxed warnings;</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60"/>
        <w:gridCol w:w="110"/>
        <w:gridCol w:w="51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 subject to additional post-marketing testing requirements; or</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10"/>
        <w:gridCol w:w="63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have the product removed from the market after obtaining marketing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development costs will also increase if we experience delays in testing or in receiving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product candidates, could allow our competitors to bring products to market before we do, and could impair our ability to successfully commercialize our product candidates, any of which may harm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we experience delays or difficulties in enrolling patients in clinical trials, our receipt of necessary regulatory approvals could be delayed or prevented.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not be able to initiate or continue clinical trials for our product candidates if we are unable to identify and enroll a sufficient number of eligible patients to participate in these trials as required by the FDA, or analogous regulatory authorities outside the United States. In addition, some of our competitors may have ongoing clinical trials for product candidates that would treat the same indications as our product candidates, and patients who would otherwise be eligible for our clinical trials may instead enroll in clinical trials of our competitors’ product candidates. Patient enrollment is also affected by other factors, including:</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
        <w:gridCol w:w="110"/>
        <w:gridCol w:w="35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severity of the disease under investigation;</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10"/>
        <w:gridCol w:w="69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availability and efficacy of approved medications for the disease under investigation;</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10"/>
        <w:gridCol w:w="34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eligibility criteria for the trial in question;</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60"/>
        <w:gridCol w:w="110"/>
        <w:gridCol w:w="53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perceived risks and benefits of the product candidate under study;</w:t>
            </w:r>
          </w:p>
        </w:tc>
      </w:tr>
    </w:tbl>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60"/>
        <w:gridCol w:w="110"/>
        <w:gridCol w:w="43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efforts to facilitate timely enrollment in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450" w:type="dxa"/>
        <w:jc w:val="left"/>
        <w:tblInd w:w="0" w:type="dxa"/>
        <w:tblLayout w:type="fixed"/>
        <w:tblCellMar>
          <w:top w:w="0" w:type="dxa"/>
          <w:left w:w="0" w:type="dxa"/>
          <w:bottom w:w="0" w:type="dxa"/>
          <w:right w:w="0" w:type="dxa"/>
        </w:tblCellMar>
      </w:tblPr>
      <w:tblGrid>
        <w:gridCol w:w="60"/>
        <w:gridCol w:w="110"/>
        <w:gridCol w:w="42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patient referral practices of health care professionals;</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60"/>
        <w:gridCol w:w="110"/>
        <w:gridCol w:w="59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to monitor patients adequately during and after treatment; and</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60"/>
        <w:gridCol w:w="110"/>
        <w:gridCol w:w="5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proximity and availability of clinical trial sites for prospective patients.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inability to enroll enough patients for our clinical trials would result in significant delays or may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serious adverse effects or unexpected characteristics of our product candidates are identified during development, we may need to abandon or limit the development of some or all of our product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impossible to predict when or if any of our product candidates will prove effective or safe in humans or will receive marketing approval. Adverse events or undesirable side effects caused by, or other unexpected properties of, our product candidates could cause us, any current or future collaborators,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If adverse effects were to arise in patients being treated with any of our product candidates, it could require us to halt, delay or interrupt clinical trials of such product candidate or adversely affect our ability to obtain requisite approvals to advance the development and commercialization of such product candidate. If our product candidates are associated with undesirable side effects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limited financial and managerial resources. As a result, we may forego or delay the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process for obtaining approval of a PMA or NDA is time consuming, subject to unanticipated delays and costs, and requires the commitment of substantial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FDA determines that any of the clinical work submitted, including the clinical trials, Human Factors studies and bench testing submitted for a product candidate in support of a PMA or NDA were not conducted in full compliance with the applicable protocols for these trials, studies and testing as well as with applicable regulations and standards, or if the FDA does not agree with our interpretation of the results of such trials, studies and testing, the FDA may reject the data and results. The FDA may audit some or all of our clinical trial sites to determine the integrity of our clinical data. The FDA may audit some or all of our study sites to determine the integrity of our data and may audit the data and results of bench testing. Any rejection of any of our data would negatively impact our ability to obtain marketing authorization for our product candidates and would have a material adverse effect on our business and financial condition. In addition, an NDA or PMA may not be approved, or approval may be delayed, as a result of changes in FDA policies for drug or device approval during the review period. For example, although many products have been approved by the FDA in recent years under Section 505(b)(2) of the FDCA, objections have been raised to the FDA’s interpretation of Section 505(b)(2). If challenges to the FDA’s interpretation of Section 505(b) (2) are successful, the FDA may be required to change its interpretation, which could delay or prevent the approval of such an NDA. Any significant delay in the acceptance, review or approval of an NDA or PMA that we have submitted would have a material adverse effect on our business and financial condition and would require us to obtain significant additional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expectations for FDA approvability of our product candidates may be inaccurate, and we may be required to conduct additional manufacturing, nonclinical or clinical development work in order to obtain FDA approval for these products, which would add to our expenses and delay any associated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Nafamostat is being developed for use in both medical devices and drug indications. Although nafamostat is approved for certain uses in Japan, our ability to leverage that for an expedited development and approval pathway with the FDA may be limited, and we may be required to conduct additional unanticipated nonclinical studies and clinical trials in order to seek approval in the U.S. We are studying Niyad in the NEPHRO CRRT study under an investigational device exemption, or IDE. Niyad has received Breakthrough Device Designation from the FDA for regional anticoagulant for infusion into the extracorporeal circuit and is expected to be used during renal replacement therapy for acute kidney injury patients in the hospital and for end-stage renal disease patients receiving dialysis in outpatient clinics. We expect that Niyad will require approval of a PMA application for commercialization in the U.S., and as a company we have never submitted nor received approval for a PMA.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active drug component of Niyad, nafamostat, is also being developed for drug indications as LTX-608, for which we expect to submit Investigational New Drug applications once IND-enabling studies have been completed. We may be delayed in the submission of our planned INDs if there are unexpected findings in our nonclinical studies, which could also adversely impact our ongoing NEPHRO CRRT study and planned PMA submission.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A key part of our business strategy is to establish collaborative relationships to commercialize and fund development and approval of our products, particularly outside of the United States. We may not succeed in establishing and maintaining collaborative relationships, which may significantly limit our ability to develop and commercialize our products successfully, if at 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need to establish and maintain successful collaborative relationships to obtain international sales, marketing and distribution capabilities for our products. The process of establishing and maintaining collaborative relationships is difficult, time-consuming and involves significant uncertainty. 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partners may seek to renegotiate or terminate their relationships with us due to unsatisfactory clinical or regulatory results, manufacturing issues, a change in business strategy, a change of control or other reasons;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contracts for collaborative arrangements are or may be terminable at will on written notice and may otherwise expire or terminate, and we may not have alternatives available to achieve the potential for our products in those territories or markets;</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60"/>
        <w:gridCol w:w="110"/>
        <w:gridCol w:w="77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partners may choose to pursue alternative technologies, including those of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have disputes with a partner that could lead to litigation or arbitration, including in connection with any contractual breach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have limited control over the decisions of our partners, and they may change the priority of our programs in a manner that would result in termination of the agreement or add significant delays to the partnered program;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generate future payments and royalties from our partners depends upon the abilities of our partners to establish the safety and efficacy of our drugs and devices, maintain regulatory approvals and our ability to successfully manufacture and achieve market acceptance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or our partners may fail to properly initiate, maintain or defend our intellectual property rights, where applicable, or a party may use our proprietary information in such a way as to invite litigation that could jeopardize or potentially invalidate our proprietary information or expose us to potential liability;</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0"/>
        <w:gridCol w:w="110"/>
        <w:gridCol w:w="6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partners may not devote sufficient capital or resources towards our products;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partners may not comply with applicable government regulatory requirements necessary to successfully market and sell our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collaborator fails to fulfill its responsibilities in a timely manner, or at all, any research, clinical development, manufacturing or commercialization efforts pursuant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we may have to undertake development and commercialization activities at our own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we, or current and potential partners, are unable to compete effectively, our products may not reach their commercial potential.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U.S. biotechnology and pharmaceutical industries are characterized by intense competition and cost pressure. Our Niyad product candidate, if approved in the U.S., may compete with currently available anticoagulants such as heparin and citrate. The LTX-608 nafamostat product candidates, if approved in the U.S., may compete with existing or emerging third party products. The PFS product candidates, if approved in the U.S., may compete with other ready-to-use formulations of ephedrine and phenylephrine.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competitive factors affecting the commercial success of our approved products are likely to be efficacy, safety profile, reliability, convenience of dosing, price and reimbursement. Many of our competitors and potential competitors have substantially greater financial, technical and human resources than we do and significantly greater experience in the discovery and development of drug candidates, obtaining FDA and other regulatory approval of products, and the commercialization of those products. Accordingly, our competitors may be more successful than we are in obtaining FDA approval for drugs and devices and achieving widespread market acceptance. Our competitors’ drugs, devices or drug delivery systems may be more effective, have fewer adverse effects, be less expensive to develop and manufacture, or be more effectively marketed and sold than any product we may seek to commercialize. This may render our products obsolete or non-competitive. We anticipate that we will face intense and increasing competition as new drugs and devices enter the market, additional technologies become available, and competitors establish collaborative or licensing relationships, which may adversely affect our competitive position. These and other competitive risks may materially adversely affect our ability to attain or sustain profitable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Coverage and adequate reimbursement may not be available for our product candidates, if approved, in the United States and in Europe, which could make it difficult for us, or our partners, to sell our products profitably.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and our partners’ ability to commercialize our product candidates in the future, if approved, in the United States will depend, in part, on the extent to which coverage and adequate reimbursement will be available from government payer programs at the federal and state levels, authorities, including Medicare and Medicaid, private health insurers, managed care plans and other third-party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uniform policy requirement for coverage and reimbursement for drug products exists among third-party payers in the United States or Europe. Therefore, coverage and reimbursement can differ significantly from payer to payer. As a result, the coverage determination process is often a time-consuming and costly process that will require us or our partners to provide scientific and clinical support for the use of the approved products to each payer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products. Additionally, separate reimbursement for the product itself or the treatment or procedure in which the product is used may not be available, which may impact utilization. Our or our partners’ inability to promptly obtain and sufficiently maintain coverage and adequate reimbursement rates from third party payers could significantly harm our operating results, our ability to raise capital needed to commercialize our approved drugs and our overall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primary trend in the U.S. healthcare industry and elsewhere is cost containment. Government authorities and other third-party payers have attempted to control costs by limiting coverage and the amount of reimbursement for particular medical products. There have been a number of legislative and regulatory proposals to change the healthcare system in the United States and in some foreign jurisdictions that could affect our or our partners’ ability to sell the products profitably.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These legislative and/or regulatory changes may negatively impact the reimbursement for our products, following approval. The availability of numerous generic pain medications may also substantially reduce the likelihood of reimbursement for approved products in Europe and elsewhere. The application of user fees to generic drug products may expedite the approval of additional pain medication generic drugs. We would expect that our product candidates will experience pricing pressures in connection with the product sale due to the trend toward managed healthcare, the increasing influence of health maintenance organizations and additional legislative changes. If we or our partners fail to successfully secure and maintain reimbursement coverage for our products or are significantly delayed in doing so, there may be difficulty achieving market acceptance of our products and our business will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Furthermore, market acceptance and sales of our products will depend on reimbursement policies and may be affected by future healthcare reform measures. Government authorities and third-party payers, such as private health insurers, hospitals and health maintenance organizations, decide which drugs and devices they will pay for and establish reimbursement levels. We cannot be sure that reimbursement will be available for our product candidates, if approved, in the United States or in Europe. Also, reimbursement amounts may reduce the demand for, or the price of, our products. For example, additional studies in Europe may be needed to ensure premium reimbursement in certain countries. If reimbursement is not available, or is available only to limited levels, we, or our partners, may not be able to successfully commercialize our product candidates, if approved, in the United States or in Europe.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regulations that govern marketing approvals, pricing, coverage and reimbursement for new drugs and devices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FDA and other regulatory agencies actively enforce the laws and regulations prohibiting the promotion of off-label uses.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found to have improperly promoted off-label uses of our products in the United States, we may become subject to significant liability. Such enforcement has become more common in the industry. The FDA and other regulatory agencies strictly regulate the promotional claims that may be made about prescription drug and medical device products. In particular, a product may not be promoted for uses that are not approved by the FDA or such other regulatory agencies as reflected in the product’s approved labeling. If the FDA determines that our or our partners’ public disclosures, promotional materials or training constitutes promotion of non-approved or off-label use, it could request modifications to disclosure policies, training or promotional materials or subject us or our partners to regulatory or enforcement actions, including the issuance of an untitled letter, a Warning Letter, injunction, seizure, civil fine or criminal penalties and a requirement for corrective advertising, including Dear Doctor letters. It is also possible that other federal, state or foreign enforcement authorities might take action if they consider our or our partners’ promotional or training materials to constitute promotion of non-approved or off-label use, which could result in significant civil, criminal and/or administrative penalties, damages, fines, disgorgement, individual imprisonment, exclusion from government-funded healthcare programs, such as Medicare and Medicaid, contractual damages, reputational harm, increased losses and diminished profits and the curtailment or restructuring of operations, any of which could adversely affect our or our partners’ ability to operate and, thus, adversely impact our business and our financial results. The FDA or other enforcement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in the United States, we could become subject to significant liability, which would materially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we or our partners are unable to establish and maintain relationships with group purchasing organizations any future revenues or future profitability could be jeopardized.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Many end-users of pharmaceutical and medical device products have relationships with group purchasing organizations, or GPOs, whereby such GPOs provide such end-users access to a broad range of pharmaceutical and medical device products from multiple suppliers at competitive prices and, in certain cases, exercise considerable influence over the drug and device purchasing decisions of such end-users. Hospitals and other end-users contract with the GPO of their choice for their purchasing needs. We expect to derive revenue from end-user customers that are members of GPOs for our product candidates, if approved. Establishing and maintaining strong relationships with these GPOs will require us to be a reliable supplier, remain price competitive and comply with FDA regulations. We currently do not have any commercial products that we can distribute through our existing GPO partners. In addition, the GPOs with whom we do have relationships may have relationships with manufacturers that sell competing products, and such GPOs may earn higher margins from these products or combinations of competing products or may prefer products other than ours for other reasons. If we, or our partners, are unable to establish or maintain our GPO relationships, sales of our product candidates, if approved, and related revenues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Regulatory Approval of Our Product Candidates and Other Legal Compliance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Existing and future legislation may increase the difficulty and cost for us to commercialize our products and affect the prices we may obtain.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United States, the Patient Protection and Affordable Care Act, as amended by the Health Care and Education Reconciliation Act of 2010, or collectively, the Affordable Care Act, was enacted in an effort to, among other things, broaden access to health insurance, reduce or constrain the growth of healthcare spending, enhance remedies against fraud and abuse, impose new taxes and fees on the health industry and impose additional health policy reforms.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executive, judicial and Congressional challenges to certain aspects of the Affordable Care Act. For example, on July 4, 2025, the One Big Beautiful Bill Act, or the OBBBA, was signed into law, which narrowed access to Affordable Care Act marketplace exchange enrollment and declined to extend the Affordable Care Act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Affordable Care Act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other legislative changes have been proposed and adopted in the United States since the Affordable Care Act was enacted. Aggregate reductions of Medicare payments to providers went into effect on April 1, 2013, and due to subsequent legislative amendments to the statute will stay in effect until 2032, unless Congressional action is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Legislative and regulatory proposals have been made to expand post-approval requirements and further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our products, if any,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that additional healthcare reform measures will be adopted within and outside the United States in the future, any of which could negatively impact our business. The continuing efforts of the government, insurance companies, managed care organizations and other payers of healthcare services to contain or reduce costs of healthcare may adversely affect the demand for any drug or device products for which we have obtained or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Our Reliance on Third Parties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will rely on third party manufacturers to produce clinical supplies of our product candidates. The failure of third-party manufacturers to provide us with adequate clinical supplies, and if approved, commercial supplies, could result in a material adverse effect on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currently use third party manufacturers to produce clinical supplies of our product candidates. Reliance on third party manufacturers entails many risks including:</w:t>
      </w:r>
    </w:p>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110"/>
        <w:gridCol w:w="69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meet our product specifications and quality requirements consistently;</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10"/>
        <w:gridCol w:w="79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meet regulatory standards and guidelines set by the appropriate governing bodies;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175" w:type="dxa"/>
        <w:jc w:val="left"/>
        <w:tblInd w:w="0" w:type="dxa"/>
        <w:tblLayout w:type="fixed"/>
        <w:tblCellMar>
          <w:top w:w="0" w:type="dxa"/>
          <w:left w:w="0" w:type="dxa"/>
          <w:bottom w:w="0" w:type="dxa"/>
          <w:right w:w="0" w:type="dxa"/>
        </w:tblCellMar>
      </w:tblPr>
      <w:tblGrid>
        <w:gridCol w:w="60"/>
        <w:gridCol w:w="110"/>
        <w:gridCol w:w="90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procure raw materials in a timely fashion due to ongoing challenges in the global supply chain;</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10"/>
        <w:gridCol w:w="61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delay or inability to procure or expand sufficient manufacturing capacity;</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110"/>
        <w:gridCol w:w="64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and product quality issues related to scale-up of manufacturing;</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10"/>
        <w:gridCol w:w="60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validation of new equipment and facilities required for scale-up;</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10"/>
        <w:gridCol w:w="79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failure to maintain in good order our production and manufacturing equipment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10"/>
        <w:gridCol w:w="49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failure to comply with cGMP and similar foreign standards;</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60"/>
        <w:gridCol w:w="110"/>
        <w:gridCol w:w="95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negotiate manufacturing or supply agreements with third parties under commercially reasonable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or nonrenewal of manufacturing or supply agreements with third parties in a manner or at a time that is costly or damaging to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reliance on a limited number of sources, and in some cases, single sources for essential product components or finished goods, such that if we are unable to secure a sufficient supply of these product components or finished goods, we will be unable to manufacture, supply and sell our products in a timely fashion, in sufficient quantities or under acceptable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lack of qualified secondary or backup suppliers for those essential components or finished goods that are currently purchased from a sole or single source supplier;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 of our third-party manufacturers or suppliers could be disrupted by conditions unrelated to our business or operations, including the bankruptcy of the manufacturer or supplier, economic sanctions, or government orders related to pandemics;</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60"/>
        <w:gridCol w:w="110"/>
        <w:gridCol w:w="83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carrier disruptions due to international conflicts and/or increased costs that are beyond our control; and</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10"/>
        <w:gridCol w:w="75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to deliver our products under specified storage conditions and in a timely manner.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of these events could lead to stock outs, inability to successfully commercialize our products, if approved, clinical trial delays, or failure to obtain regulatory approval. Some of these events could be the basis for FDA action, including injunction, recall, seizure, or total or partial suspension of production. If any of these events were to occur, our business would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rely on limited sources of supply for the active ingredient and finished product of our nafamostat-based product candidates and any disruption in the chain of supply may cause a delay in developing our product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currently have a single source of supply for the active ingredient and finished product for our nafamostat-based product candidates. If supply from those vendors is interrupted or discontinued, or if we are unable to negotiate commercial supply agreements with them, there could be a significant impact on our development activities for those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our contract development and manufacturing organization, or CDMO, our sole-source for the finished goods of our nafamostat-based product candidates, is located in Asia, and we expect to rely on this supplier for the foreseeable future. Biotechnology companies and CDMOs based outside the U.S. may become subject to trade restrictions, sanctions, and other regulatory requirements by the U.S. government, which could restrict or even prohibit our ability to work with such entities, thereby potentially disrupting the supply of finished goods to us. In addition, the U.S. government has imposed tariffs on biopharmaceutical products imported from outside the U.S., which will increase our cost of doing business until we are able to source such products outside of jurisdictions subject to such tariffs. We have contracted with, or are in the process of pursuing contracts with, alternative suppliers or manufacturers outside of Asia for our finished goods for our nafamostat-based product candidates; however, any new CDMO would have to validate the manufacturing process at the new site which would require additional time and resources. In addition, we would need to obtain appropriate regulatory approvals before we could sell any product produced at that site. While we believe that our current manufacturing plan will provide us with alternative sources for such supplies, if supplies are interrupted, or the quality of finished goods provided by such alternative sources is not to our specification, it could cause delays in our supply chain and increase the cost of manufacturing our nafamostat-based product candidates, which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Manufacturing issues may arise that could delay or increase costs related to product development and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relied, and will continue to rely, on contract manufacturers, fabricators and third-party service providers to produce the necessary Niyad product for clinical and non-clinical development and eventually for commercial sales. We currently outsource manufacturing and packaging of Niyad to third parties and intend to continue to do so. These purchases were made and will continue to be made utilizing short-term purchase order agreements and we may not be able to enter into long-term agreements for commercial supply with these third-party manufacturers or may be unable to do so on acceptable terms. In addition, we may encounter production issues with our current or future contract manufacturers and other third-party service providers, including the reliability of the production equipment, quality of the finished goods produced, their inability to meet demand or other unanticipated delays.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we scale up manufacturing of Niyad in the future to support commercial demand, and conduct required production and stability testing, these processes may require refinement or resolution. For example, as we scale up, we may identify significant issues which could result in failure to maintain regulatory approval of Niyad, increased scrutiny by regulatory agencies, delays in clinical development and regulatory approval, increases in our operating expenses, or failure to obtain approval for our product candidates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facilities of any of our future manufacturers of Niyad must be approved by the FDA before commercial distribution from such manufacturers occurs. We do not fully control the manufacturing process and are completely dependent on these third-party manufacturing partners for compliance with the FDA or other foreign regulatory agencies’ requirements for manufacture. In addition, although our third-party manufacturers are well-established manufacturers, we are dependent on their continued adherence to cGMP manufacturing and acceptable changes to their processes. If our manufacturers do not meet the FDA or other foreign regulatory agencies’ strict regulatory requirements, they will not be able to secure FDA or other foreign regulatory agency approval for their manufacturing facilities. If the FDA or the relevant foreign regulatory agency does not approve these facilities for the commercial manufacture of Niyad, we will need to find alternative suppliers, which would result in significant delays in obtaining regulatory agency approval. These challenges may have a material adverse impact on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not be able to establish additional sources of supply for Niyad. Such suppliers are subject to FDA and other foreign regulatory agencies’ regulations requiring that materials be produced under cGMPs or Quality Management System Regulations, or QMSR. Failure by any of our suppliers to comply with applicable regulations may result in delays.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conduct, supervise and monitor our clinical trials, and if those third parties perform in an unsatisfactory manner, it may harm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utilize CROs for the development of our product candidates. We will rely on such CROs, as well as clinical trial sites, to ensure the proper and timely conduct of our clinical trials and document preparation. While we have agreements or will enter into such agreements governing their activities, we have limited influence over their actual performance. We have plans to rely upon CROs to monitor and manage data for post-approval clinical programs or any FDA-required clinical programs for our product candidates, as well as the execution of non-clinical and clinical trials. We control only certain aspects of our CROs’ activities. Nevertheless, we are responsible for ensuring that each of our trials is conducted in accordance with the applicable protocol, legal, regulatory and scientific standards and our reliance on the CROs does not relieve us of our regulatory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and our CROs are required to comply with the FDA’s current good clinical practices, or cGCPs, which are regulations and guidelines enforced by the FDA for all product candidates in clinical development. The FDA enforces these cGCPs through periodic inspections of trial sponsors, principal investigators and clinical trial sites. If we or our CROs fail to comply with applicable cGCPs, the clinical data generated in our clinical trials may be deemed unreliable and the FDA may require us to perform additional clinical trials before approving our marketing applications. Upon inspection, the FDA may determine that our clinical trials do not comply with cGCPs. Accordingly, if our CROs or clinical trial sites fail to comply with these regulations, we may be required to repeat clinical trials, which would delay the regulatory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CROs are not our employees, and we cannot control whether or not they devote sufficient time and resources to our ongoing clinical and non-clinical programs. These CROs may also have relationships with other commercial entities, including our competitors, for whom they may also be conducting clinical trials, or other drug or medical device development activities which could harm our competitive position. We face the risk of potential unauthorized disclosure or misappropriation of our intellectual property by CROs, which may allow our potential competitors to access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our product candidates, if approved, would be harmed, our costs could increase, and our ability to generate revenues could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Our Business Operations and Industry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relationships with clinical investigators, health care professionals, consultants, commercial partners, third-party payers, hospitals, and other customers are subject to applicable anti-kickback, fraud and abuse and other healthcare laws, which could expose us to significant penalties.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Healthcare providers, including physicians, and others play a primary role in the recommendation and prescribing of any products for which we may obtain marketing approval. Our business operations and arrangements with investigators, healthcare professionals, consultants, commercial partners, hospitals, third-party payers and customers may expose us to broadly applicable fraud and abuse and other healthcare laws. These laws may constrain the business or financial arrangements and relationships through which we research, market, sell and distribute the products for which we obtain marketing approval. Applicable federal and state healthcare laws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healthcare Anti-Kickback Statute, which prohibits, among other things, persons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federal healthcare programs such as Medicare and Medicaid;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civil and criminal false claims laws, which prohibit, among other things, individuals or entities from knowingly presenting, or causing to be presented, to the federal government, claims for payment or approval that are false or fraudulent or from knowingly making a false statement to improperly avoid, decrease or conceal an obligation to pay money to the federal government;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Health Insurance Portability and Accountability Act of 1996, or HIPAA, which, among other things, imposes criminal liability for knowingly and willfully executing, or attempting to execute, a scheme to defraud any healthcare benefit program or to obtain, by means of false or fraudulent pretenses, representations, or promises, any of the money or property owned by, or under the custody or control of, any healthcare benefit program, regardless of the payer (e.g., public or private) and knowingly or willfully falsifying, concealing, or covering up by any trick or device a material fact or making any materially false statement in connection with the delivery of, or payment for, healthcare benefits, items or services relating to healthcare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HIPAA, as amended by the Health Information Technology for Economic and Clinical Health Act, or HITECH, and their implementing regulations, which impose certain obligations, including mandatory contractual terms, on covered healthcare providers, health plans and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laws, regulations, standards and regulatory guidance which govern the collection, use, disclosure, retention, security and transfer of personal data, including the European Union General Data Privacy Regulation, or GDPR, which introduces strict requirements for processing personal data of individuals within the European Union;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Physician Payment Sunshine Act, enacted as part of the Affordable Care Act, and its implementing regulations, which requires certain manufacturers of drugs, devices, biologicals and medical supplies to report annually to the Centers for Medicare &amp; Medicare Services, or CMS information related to payments and other transfers of value provided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analogous state laws that may apply to our business practices, including but not limited to, state laws that require pharmaceutical companies to implement compliance programs and/or comply with the pharmaceutical industry’s voluntary compliance guidelines; state laws that impose restrictions on pharmaceutical companies’ marketing practices and require manufacturers to track and file reports relating to pricing and marketing information, which requires tracking and reporting gifts, compensation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with differing effects;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Foreign Corrupt Practices Act of 1977, United Kingdom Bribery Act 2010 and other similar anti-bribery laws in other jurisdictions which generally prohibit companies and their intermediaries from providing money or anything of value to officials of foreign governments, foreign political parties, or international organizations with the intent to obtain or retain business or seek a business advantage.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determination that our operations or activities are not, or were not, in compliance with United States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Efforts to ensure that our business arrangements with third parties will comply with applicable healthcare laws involve substantial costs. It is possible that governmental authorities will conclude that our or our partners’ business practices may not comply with current or future statutes, regulations, agency guidance or case law involving applicable fraud and abuse or other healthcare laws. If our operations are found to be in violation of any of these or any other healthcare regulatory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increased losses and diminished profits, additional oversight and reporting obligations if we become subject to a corporate integrity agreement or other agreement to resolve allegations of non-compliance with these laws, and the curtailment or restructuring of our operations any of which could adversely affect our ability to operate our business and our financial results. Any action against us for violation of these laws, even if we successfully defend against it, could cause us to incur significant legal expenses or divert our management’s attention from the operation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Significant disruptions of our information technology systems or data security incidents could result in significant financial, legal, regulatory, business and reputational harm to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confidential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In addition, the prevalent use of mobile devices increases the risk of data security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disruptions of our third-party vendors’ and/or business partners’ information technology systems or other similar data security incidents could adversely affect our business operations and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no way of knowing with certainty whether we have experienced any data security incidents that have not been discovered. While we have no reason to believe this to be the case, attackers have become very sophisticated in the way they conceal access to systems, and many companies that have been attacked are not aware that they have been attacked. Any event that leads to unauthorized access, use or disclosure of personal information, including but not limited to personal information regarding our patients or employees, could disrupt our business, harm our reputation, compel us to comply with applicable federal and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or business partners to comply with our privacy, confidentiality or data security-related legal or other obligations to third parties, or any further security incidents or other inappropriate access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and any delay in identifying them may lead to increased harm of the type described above. While we have implemented security measures and obtained and maintain cybersecurity insurance intended to protect our information technology systems and infrastructure, there can be no assurance that such measures will successfully prevent service interruptions or security incidents, or adequately protect us against any such occurrences.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Business interruptions could delay our operations and sales efforts.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headquarters is located in the San Francisco Bay Area, near known earthquake fault zones and is vulnerable to significant damage from earthquakes. Our contract manufacturers, suppliers, clinical trial sites and local and national transportation vendors are all subject to business interruptions due to weather, outbreaks of pandemic diseases, natural disasters, or man-made incidents. We are also vulnerable to other types of natural disasters and other events that could disrupt our operations. If any of these events occurred and prevented us or third parties on which we rely from using all or a significant portion of our or their facilities, it may be difficult or, in certain cases, impossible for us to continue our business and operations for a substantial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future success depends on our ability to retain key executives and to attract, retain and motivate qualified personnel.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highly dependent on the principal members of our executive team, the loss of whose services may adversely impact the achievement of our objectives. While we have entered into offer letters with each of our executive officers, any of them could leave our employment at any time, as all of our employees are “at will” employees. Recruiting and retaining qualified scientific, manufacturing, and commercial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There is currently a shortage of skilled executives in our industry, which is likely to continue. As a result, competition for skilled personnel is intense and the turnover rate can be high. In addition, failure to succeed in clinical trials, or delays in the regulatory approval process, may make it more challenging to recruit and retain qualified personnel. The inability to recruit or loss of the services of any executive or key employee might impede the progress of our research, development and commercialization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may acquire companies, product candidates or products or engage in strategic transactions, which could divert our management</w:t>
      </w:r>
      <w:r>
        <w:rPr>
          <w:rFonts w:ascii="Times New Roman" w:hAnsi="Times New Roman"/>
          <w:caps w:val="false"/>
          <w:smallCaps w:val="false"/>
          <w:sz w:val="20"/>
        </w:rPr>
        <w:t>’</w:t>
      </w:r>
      <w:r>
        <w:rPr>
          <w:rFonts w:ascii="Times New Roman" w:hAnsi="Times New Roman"/>
          <w:b/>
          <w:i/>
          <w:caps w:val="false"/>
          <w:smallCaps w:val="false"/>
          <w:sz w:val="20"/>
        </w:rPr>
        <w:t xml:space="preserve">s attention and cause us to incur various costs and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acquire or invest in companies, product candidates or products that we believe could complement or expand our business or otherwise offer growth opportunities. The pursuit of potential acquisitions or investments may divert the attention of management and has caused, and in the future may cause, us to incur various costs and expenses in identifying, investigating, and pursuing them, whether or not they are consummated. We may not be able to identify desirable acquisitions or investments or be successful in completing or realizing anticipated benefits from such transactions. In addition, the acquisition of product candidates and products is a highly competitive area, and many other companies are pursuing the same or similar product candidates to those that we may consider attractive. Larger companies with more well-established and diverse revenue streams may have a competitive advantage over us due to their size, financial resources and more extensive clinical development and commercialization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we receive inquiries relating to potential strategic transactions, including collaborations, licenses, and acquisitions. Such potential transactions may divert the attention of management and may cause us to incur various costs and expenses in investigating and evaluating such transactions, whether or not they are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employees, independent contractors, principal investigators, consultants, commercial partners and vendors may engage in misconduct or other improper activities, including non-compliance with regulatory standards and requirements and insider trading.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exposed to the risk that our employees, independent contractors, investigators, consultants, commercial partners and vendors may engage in fraudulent conduct or other illegal activity. Misconduct by these parties could include intentional, reckless and/or negligent conduct that violates (1) regulations implemented by the FDA and similar foreign regulatory bodies; (2) laws requiring the reporting of true, complete and accurate information to such regulatory bodies; (3) healthcare fraud and abuse laws of the United States and similar foreign fraudulent misconduct laws; and (4) laws requiring the reporting of financial information or data accurately. The promotion, sales and marketing of healthcare items and services, as well as certain business arrangements in the healthcare industry are subject to extensive laws designed to prevent misconduct, including fraud, kickbacks, self-dealing and other abusive practices. These laws may restrict or prohibit a wide range of pricing, discounting, marketing, structuring and commission(s), certain customer incentive programs and other business arrangements generally. Activities subject to these laws also involve the improper use of information obtained in the course of patient recruitment for clinical trials. It is not always possible to identify and deter employee and other third-party misconduct. The precautions we take to detect and prevent inappropriate conduct may not be effective in controlling unknown or unmanaged risks or losses or in protecting us from governmental investigations or other actions or lawsuits stemming from a failure to comply with these laws. If any such actions are instituted against us, and we are not successful in defending ourselves, those actions could have a significant impact on our business, including the imposition of significant civil, criminal and administrative penalties, damages, monetary fines, disgorgement, imprisonment, additional oversight and reporting obligations if we become subject to a corporate integrity agreement or similar agreements to resolve allegations of non-compliance with these laws,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Our Intellectual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we cannot defend our issued patents from third party claims or if our pending patent applications fail to issue, our business could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protect our proprietary technology, we rely on patents as well as other intellectual property protections including trade secrets, nondisclosure agreements, and confidentiality provisions. We are pursuing a number of U.S. patent applications and foreign national applications directed to our product candidates. The patent applications that we have filed and have not yet been granted may fail to result in issued patents in the United States or in foreign countries. Even if the patents successfully issue, third parties may challenge the patents. We have entered into the DSUVIA Agreement with Alora pursuant to which Alora acquired all patents and trademarks related to DSUVIA and DZUVEO. In addition, we and Alora entered into an intellectual property agreement pursuant to which Alora granted fully-paid, royalty-free and perpetual licenses to us under certain specified intellectual property rights acquired by Alora under the DSUVIA Agreement for, among other things, the development, manufacture, commercialization and exploitation of certain products, including Zalviso.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commercial success will depend in part on successfully defending our current patents against third party challenges and expanding our existing patent portfolio to provide additional layers of patent protection, as well as extending patent protection. There can be no assurance that we will be successful in defending our existing and future patents against third party challenges, or that our pending patent applications will result in additional issued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patent positions of pharmaceutical companies, including ours, can be highly uncertain and involve complex and evolving legal and factual questions. No consistent policy regarding the breadth of claims allowed in pharmaceutical patents has emerged to date in the United States. Legal developments may preclude or limit the scope of available patent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There is also no assurance that any patents issued to us will not become the subject of adversarial or post-issuance proceedings such as opposition, </w:t>
      </w:r>
      <w:r>
        <w:rPr>
          <w:rFonts w:ascii="Times New Roman" w:hAnsi="Times New Roman"/>
          <w:i/>
          <w:caps w:val="false"/>
          <w:smallCaps w:val="false"/>
          <w:sz w:val="20"/>
        </w:rPr>
        <w:t>inter partes</w:t>
      </w:r>
      <w:r>
        <w:rPr>
          <w:rFonts w:ascii="Times New Roman" w:hAnsi="Times New Roman"/>
          <w:caps w:val="false"/>
          <w:smallCaps w:val="false"/>
          <w:sz w:val="20"/>
        </w:rPr>
        <w:t xml:space="preserve"> review, post-grant review, </w:t>
      </w:r>
      <w:r>
        <w:rPr>
          <w:rFonts w:ascii="Times New Roman" w:hAnsi="Times New Roman"/>
          <w:i/>
          <w:caps w:val="false"/>
          <w:smallCaps w:val="false"/>
          <w:sz w:val="20"/>
        </w:rPr>
        <w:t>ex parte</w:t>
      </w:r>
      <w:r>
        <w:rPr>
          <w:rFonts w:ascii="Times New Roman" w:hAnsi="Times New Roman"/>
          <w:caps w:val="false"/>
          <w:smallCaps w:val="false"/>
          <w:sz w:val="20"/>
        </w:rPr>
        <w:t xml:space="preserve"> re-examination or other post-issuance proceedings. In addition, there is no assurance that the relevant patent office court or agency in such adversarial proceedings would not make unfavorable decisions, such as reducing the scope of a patent of ours, invalidating issued claims or determining that a patent of ours is invalid or unenforceable. There is also no assurance that any patents issued to us will provide us with competitive advantages, will not be challenged by any third parties, or that the patents of others will not prevent the commercialization of products incorporating our technology. Furthermore, there can be no guarantee that others will not independently develop similar products, duplicate any of our products, or design around our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Litigation involving patents, patent applications and other proprietary rights is expensive and time consuming. If we are involved in such litigation, it could cause delays in bringing our products to market and interfere with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commercial success depends in part on our not infringing patents or misappropriating trademarks or other third-party intellectual property rights. Although we are not currently aware of litigation or other proceedings or third-party claims of intellectual property infringement or misappropriation related to our product candidates, the pharmaceutical industry is especially prone to extensive litigation proceedings between competitors regarding their patents and other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we enter our target markets, it is possible that competitors or other third parties will claim that our products and/or processes infringe or misappropriate their intellectual property rights. These third parties may have obtained and may in the future obtain patents covering products or processes that are similar to our products, or may include composition or method claims that encompass our technology, allowing them to assert that our continued use of our own technologies infringes such newly emerging patent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a patent infringement claim is asserted against us, we may counter, as an affirmative defense, that we do not infringe the relevant patent claims, that the patent is invalid or otherwise unenforceable or any combination thereof. The strength of our defenses will depend on the patents asserted, the interpretation of those patents, and our ability to establish the invalidity of the asserted patents. However, we could be unsuccessful in advancing non-infringement, invalidity or unenforceability arguments in our defense. In the United States, issued patents enjoy a presumption of validity, and the party challenging the validity of a patent claim must present clear and convincing evidence of invalidity, which is a high burden of proof. Conversely, the patent owner needs only prove infringement by a preponderance of the evidence, which is a lower burden of proof.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court in a final and non-appealable decision were to hold that we have infringed someone else’s valid patent claim, we could be prevented from using that third-party patented technology and may also be required to pay the owner of the patent for damages for past sales and need to seek license access to the patented technology for future sales. If we decide to pursue such a license to one or more of these patents, we may not be able to obtain a license on commercially reasonable terms, if at all, or the license we obtain may require us to pay substantial royalties or grant cross licenses to our patent rights. For example, if the relevant patent is owned by a competitor, that competitor may choose not to license patent rights to us. If we decide to develop alternative technology to avoid such third-party patent claims, we may not be able to do so in a timely or cost-effective manner,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because patent applications remain unpublished for 18 months from their initial filing date and some applications may be afforded confidentiality during prosecution that can take years to issue, there may currently be pending applications that are unknown to us and that may later result in issued patents that could cover one or more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possible that we may in the future receive communications from competitors and other companies alleging that we may be infringing their patents, misappropriating their trade secrets or otherwise violating their intellectual property rights, where they may offer license access to such intellectual property or threaten litigation. In addition to patent infringement claims, third parties may assert copyright, trademark or other intellectual property rights against us. We may need to expend considerable resources to counter such claims and may not be successful in our defense. Our business may suffer if a finding of infringement or misappropriation is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It is difficult and costly to protect our proprietary rights, and we may not be able to ensure their protection.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patent positions of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The pharmaceutical patent situation outside the United States is just as uncertain. Changes in either the patent laws or in interpretations of patent laws in the United States and other countries may diminish the value of our intellectual property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cannot predict the breadth of claims that may be allowed or enforced in the patents that may issue from the applications that we currently have pending or may in the future file ourselves or acquire or license from third parties. Claims could be brought regarding the validity of our patents by third parties. Further, if any patent right that we obtain is deemed invalid and/or unenforceable, it could impact our ability to commercialize or partner our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Competitors or third parties may infringe our patents. We may decide it is necessary to assert patent infringement claims against such entities, which can be expensive and time-consuming. In addition, in an infringement proceeding, a court may decide that a patent of ours is not valid or is unenforceable, or that the third party’s technology does not in fact infringe upon our patents. An adverse determination of any litigation or defense proceedings could put one or more of our patents at risk of being invalidated or interpreted narrowly and could put our related pending patent applications at risk of not issuing. Litigation may fail and, even if successful, may result in substantial costs and be a distraction to our management. We may not be able to prevent misappropriation of our intellectual property rights, particularly in countries outside the United States where national laws and court systems are less robust, making patent rights more difficult to enforce, and very expensive to pursue.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degree of future protection for our proprietary rights is uncertain, and we cannot ensure that:</w:t>
      </w:r>
    </w:p>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110"/>
        <w:gridCol w:w="89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were the first to make the inventions covered by each of our pending patent applications or issued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patent applications were filed before the inventions covered by each patent or patent application was published by a third-party;</w:t>
            </w:r>
          </w:p>
        </w:tc>
      </w:tr>
    </w:tbl>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60"/>
        <w:gridCol w:w="110"/>
        <w:gridCol w:w="51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were the first to file patent applications for these inventions;</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10"/>
        <w:gridCol w:w="89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others will not independently develop similar or alternative technologies or duplicate any of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patents issued to us or our collaborators will provide a basis for commercially viable products, will provide us with any competitive advantages or will not be challenged by third parties; or</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60"/>
        <w:gridCol w:w="110"/>
        <w:gridCol w:w="55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patents of others will not have an adverse effect on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do not adequately protect our intellectual property rights, competitors may be able to use our technologies and erode or negate any competitive advantage we may have, which could materially harm our business, negatively affect our position in the marketplace, limit our ability to commercialize any of our product opportunities, if approved, and delay or render impossible our achievement of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be unable to adequately prevent disclosure of trade secrets and other proprietary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rely on trade secrets to protect our proprietary knowledge and technological advances, especially where we do not believe patent protection is appropriate or obtainable. However, trade secrets are difficult to protect. We rely in part on confidentiality agreements with our business partners,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without misappropriating our rights.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Periodic maintenance fees, renewal fees, annuity fees and various other governmental fees on patents and applications will be due to be paid to the United States Patent and Trademark Office and various foreign governmental patent agencies in several stages over the lifetime of the patents and/or applications.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systems in place, including the use of third-party vendors, to manage payment of periodic maintenance fees, renewal fees, annuity fees and various other patent and application fees. The United States Patent and Trademark Office, or the USPTO, and various foreign governmental patent agencies require compliance with a number of procedural, documentary, fee payment and other similar provisions during the patent application process. There are situations in which noncompliance can result in abandonment or lapse of the patent or patent application, resulting in partial or complete loss of patent rights in the relevant jurisdiction. If this occurs, our competitors might be able to enter the market, which would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enforce our intellectual property rights throughout the world.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Additionally, claims may be brought regarding the validity of our patents by third parties in the United States and foreign countries. In addition, changes in the law and legal decisions by courts in the United States and foreign countries may affect our ability to obtain adequate protection for our technology and the enforcement of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have not yet registered our trademarks in all our potential markets, and failure to secure those registrations could adversely affect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filed a trademark application for TALPHERA in the United States and will file related trademark applications in other major foreign pharmaceutical jurisdictions of interest. In addition, we have obtained approval of our Niyad and Fedsyra marks in the United States and are awaiting our first use of those marks in commerce in order to secure our federal registrations. Although we are not currently aware of any oppositions to or cancellations of our registered trademarks or pending applications, it is possible that one or more of the applications and/or registrations could be subject to rejection, opposition or cancellation. In addition, we will need to seek FDA approval to use Niyad and other potential product trademarks as part of future potential applications for marketing approval of the relevant developmental products. The registrations will be subject to use and maintenance requirements. It is also possible that we have not yet registered all of our trademarks in all of our potential markets, and that there are names or symbols that may be protectable marks for which we have not sought registration, and failure to secure those registrations could adversely affect our business. Opposition or cancellation proceedings may be filed against our trademarks and our trademarks may not survive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Ownership of Our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market price of our common stock has historically been and may continue to be highly volatile.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trading price of our common stock has experienced significant volatility and is likely to be volatile in the future. Our stock price could be subject to wide fluctuations in response to a variety of factors, including the following:</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60"/>
        <w:gridCol w:w="110"/>
        <w:gridCol w:w="76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successfully develop and commercialize our product candidates in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60"/>
        <w:gridCol w:w="110"/>
        <w:gridCol w:w="73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obtain additional funding needed to conduct our planned business operations;</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60"/>
        <w:gridCol w:w="110"/>
        <w:gridCol w:w="57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integration and performance of any assets or businesses we acquire;</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60"/>
        <w:gridCol w:w="110"/>
        <w:gridCol w:w="77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develop and commercialize products and product candidates that we in-license;</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60"/>
        <w:gridCol w:w="110"/>
        <w:gridCol w:w="53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perception of limited market sizes or pricing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60"/>
        <w:gridCol w:w="110"/>
        <w:gridCol w:w="10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safety issues;</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adverse results or delays in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110"/>
        <w:gridCol w:w="47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laws or regulations applicable to our products;</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110"/>
        <w:gridCol w:w="85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obtain adequate product supply for our products, or the inability to do so at acceptable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560" w:type="dxa"/>
        <w:jc w:val="left"/>
        <w:tblInd w:w="0" w:type="dxa"/>
        <w:tblLayout w:type="fixed"/>
        <w:tblCellMar>
          <w:top w:w="0" w:type="dxa"/>
          <w:left w:w="0" w:type="dxa"/>
          <w:bottom w:w="0" w:type="dxa"/>
          <w:right w:w="0" w:type="dxa"/>
        </w:tblCellMar>
      </w:tblPr>
      <w:tblGrid>
        <w:gridCol w:w="60"/>
        <w:gridCol w:w="110"/>
        <w:gridCol w:w="23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adverse regulatory decisions;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110"/>
        <w:gridCol w:w="48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structure of the healthcare payment systems;</w:t>
            </w:r>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10"/>
        <w:gridCol w:w="60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introduction of new products, services or technologies by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10"/>
        <w:gridCol w:w="58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meet or exceed financial projections we provide to the public;</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110"/>
        <w:gridCol w:w="69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meet or exceed the estimates and projections of the investment community;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decisions by our collaboration partners regarding market access, pricing, and commercialization efforts in countries where they have the right to commercialize our products;</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10"/>
        <w:gridCol w:w="64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maintain our existing collaborations or enter into new collaborations;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perception of the pharmaceutical industry generally, and of opioid manufacturers more specifically, by the public, legislatures, regulators and the investment community;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significant acquisitions, strategic partnerships, joint ventures, or other significant transactions, including disposition transactions, or capital commitments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disputes or other developments relating to employment matters, business development efforts, proprietary rights, including patents, litigation matters and our ability to obtain patent protection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110"/>
        <w:gridCol w:w="54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or departures of key management or scientific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associated with potential governmental investigations, inquiries, regulatory actions or lawsuits that may be brought against us as a result of us being an opioid manufacturer;</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110"/>
        <w:gridCol w:w="91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types of significant lawsuits, including patent, stockholder, securities class action and derivative litigation;</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110"/>
        <w:gridCol w:w="44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market valuations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10"/>
        <w:gridCol w:w="53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our common stock by us or our stockholders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
        <w:gridCol w:w="110"/>
        <w:gridCol w:w="29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liquidity of our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60"/>
        <w:gridCol w:w="110"/>
        <w:gridCol w:w="30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trading volume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Sales of a substantial number of shares of our common stock in the public market by us or our stockholders could cause our stock</w:t>
      </w:r>
      <w:r>
        <w:rPr>
          <w:rFonts w:ascii="Times New Roman" w:hAnsi="Times New Roman"/>
          <w:caps w:val="false"/>
          <w:smallCaps w:val="false"/>
          <w:sz w:val="20"/>
        </w:rPr>
        <w:t> </w:t>
      </w:r>
      <w:r>
        <w:rPr>
          <w:rFonts w:ascii="Times New Roman" w:hAnsi="Times New Roman"/>
          <w:b/>
          <w:i/>
          <w:caps w:val="false"/>
          <w:smallCaps w:val="false"/>
          <w:sz w:val="20"/>
        </w:rPr>
        <w:t xml:space="preserve">price to fall.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we will continue to need additional capital in the future to continue to expand our business and our research and development activities, among other things, we may conduct additional equity offerings. Sales of a substantial number of shares of our common stock in the public market or our issuance of common stock warrants, or the perception that these sales or issuances might occur, could depress the market price of our common stock and could impair our ability to raise capital through the sale of additional equity securities. Our management is authorized to grant stock options and other equity-based awards to our employees, directors and consultants under our equity incentive plans. Grants under our equity incentive plans may also cause our stockholders to experience additional dilution, which could cause our stock price to fall. We may in the future issue additional shares of our common stock as consideration in mergers, acquisitions and other business development transactions. We are unable to predict the effect that sales may have on the prevailing market price of our common stock. All of our shares of common stock outstanding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do not intend to pay dividends on our common stock so any returns will be limited to the value of our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never declared or paid any cash dividends on our capital stock, and we are prohibited from doing so under the terms of the Loan Agreement. Regardless of the restrictions in the Loan Agreement or the terms of any potential future indebtedness, we anticipate that we will retain all available funds and any future earnings to support our operations and finance the growth and development of our business and, therefore, we do not expect to pay cash dividends in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authorizing the issuance of “blank check” preferred stock, the terms of which may be established and shares of which may be issued without stockholder approval;</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60"/>
        <w:gridCol w:w="110"/>
        <w:gridCol w:w="43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limiting the removal of directors by the stockholders;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110"/>
        <w:gridCol w:w="25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staggered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prohibiting stockholder action by written consent, thereby requiring all stockholder actions to be taken at a meeting of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0"/>
        <w:gridCol w:w="110"/>
        <w:gridCol w:w="6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eliminating the ability of stockholders to call a special meeting of stockholders;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advance notice requirements for nominations for election to our Board of Directors or for proposing matters that can be acted upon at stockholder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of a General 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Litigation may substantially increase our costs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been, are, and may in the future become, party to lawsuits including, without limitation, actions and proceedings in the ordinary course of business relating to our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The expense of defending against such litigation may be significant and there can be no assurance that we will be successful in any defense. Further, the amount of time that may be required to resolve such lawsuits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 could have a material adverse effect on our consolidated operations, cash flows and financial position. Additionally, any such claims, whether or not successful, could damage our reputation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stock markets have from time-to-time experienced significant price and volume fluctuations that have affected the market prices for the common stock of pharmaceutical companies. These broad market fluctuations may cause the market price of our common stock to decline. In addition, the market price of our common stock may vary significantly based on Talphera-specific events. In the past, securities-related class action litigation has often been brought against a company following a decline in the market price of its securities. This risk is especially relevant for us because biotechnology and biopharmaceutical companies often experience significant stock price volatility in connection with their investigational drug or medical device product candidate development programs and the FDA’s review of their NDAs.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 is subject to inherent uncertainties, and an adverse result in such matters that may arise from time to time could have a material adverse effect on our business, results of operations, and financial condition. Please see Note 5, “Commitments and Contingencies—Litigation” to our unaudited condensed consolidated financial statements in this Quarterly Report on Form 10-Q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International trade policies, including tariffs, sanctions and trade barriers may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providing critical materials and manufactured product are located outside of the United States. The active ingredient for Niyad, nafamostat, is manufactured in Japan, and our Niyad product candidate is manufactured in China. We also rely on specialized laboratory equipment, supplies, materials, and precursor compounds, all or part of which we believe may be ultimately sourced from multiple countries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ability to use our net operating loss carryforwards and certain other tax attributes may be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current law, federal net operating losses generated in tax years beginning prior to January 1, 2018 generally will expire 20 years after they were generated if not used prior thereto; federal net operating losses generated in tax years beginning after December 31, 2017, will carryforward indefinitely, but the deductibility of such federal net operating losses generally is limited to 80% of current year taxable income. Many states have similar laws. Our ability to use our federal and state net operating losses to offset potential future taxable income and related income taxes that would otherwise be due is dependent upon our generation of future taxable income before the expiration dates of the net operating losses, and we cannot predict with certainty when, or whether, we will generate sufficient taxable income to use all of our net operating losses. Accordingly, our federal and state net operating losses could expire unused and be unavailable to offset future income tax liabilities. In addition, under Sections 382 and 383 of the Internal Revenue Code of 1986, as amended, and corresponding provisions of state law,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limited. We completed a new issuance of common stock totaling over 50% on September 10, 2025. This triggered an ownership change, causing our net operating losses and credits to be limited. We may experience additional ownership changes as a result of subsequent shifts in our stock ownership, some of which may be outside of our control. Furthermore, our ability to utilize net operating losses of companies that we have acquired or may acquire in the future may be subject to limitations. In the future, if we earn net taxable income, our ability to use our pre-change net operating loss carryforwards or other tax attributes to offset U.S. federal taxable income may be subject to limitations, which could potentially result in increased future tax liability to us and could adversely affect our business,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effective tax rate may fluctuate, we may be adversely affected by changes in tax laws and regulations, and we may incur obligations in tax jurisdictions in excess of accrued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subject to taxation in numerous U.S. federal, state, and local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changes in the mix of our profitability among the jurisdiction in which we operate, the results of examinations and audits of our tax filings, our inability to secure or sustain acceptable agreements with tax authorities, changes in accounting for income taxes and enactment of new tax laws or changes in the interpretation and application of existing tax laws. New income, sales, use or other tax laws, rules, regulations, or ordinances could be enacted at any time. For example, recent legislation commonly referred to as the One Big Beautiful Bill Act changes how companies can depreciate property, deduct interest expense, and deduct research and development costs. These changes did not have a significant impact on our income taxes in 2025; however, any of these factors could cause us to owe more or less income tax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2. Unregistered Sales of Equity Securities and 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Defaults Upon Senior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4. Mine Safety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5. 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283"/>
        <w:jc w:val="left"/>
        <w:rPr/>
      </w:pPr>
      <w:r>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5"/>
        <w:gridCol w:w="60"/>
        <w:gridCol w:w="6074"/>
        <w:gridCol w:w="60"/>
        <w:gridCol w:w="500"/>
        <w:gridCol w:w="60"/>
        <w:gridCol w:w="835"/>
        <w:gridCol w:w="60"/>
        <w:gridCol w:w="650"/>
        <w:gridCol w:w="60"/>
        <w:gridCol w:w="971"/>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3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Incorporation By Reference</w:t>
            </w:r>
          </w:p>
        </w:tc>
      </w:tr>
      <w:tr>
        <w:trPr/>
        <w:tc>
          <w:tcPr>
            <w:tcW w:w="875" w:type="dxa"/>
            <w:tcBorders>
              <w:bottom w:val="single" w:sz="2"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60" w:type="dxa"/>
            <w:tcBorders/>
            <w:vAlign w:val="center"/>
          </w:tcPr>
          <w:p>
            <w:pPr>
              <w:pStyle w:val="TableContents"/>
              <w:bidi w:val="0"/>
              <w:spacing w:before="0" w:after="283"/>
              <w:jc w:val="left"/>
              <w:rPr/>
            </w:pPr>
            <w:r>
              <w:rPr/>
              <w:t> </w:t>
            </w:r>
          </w:p>
        </w:tc>
        <w:tc>
          <w:tcPr>
            <w:tcW w:w="6074" w:type="dxa"/>
            <w:tcBorders>
              <w:bottom w:val="single" w:sz="2" w:space="0" w:color="000000"/>
            </w:tcBorders>
            <w:tcMar>
              <w:bottom w:w="28" w:type="dxa"/>
            </w:tcMar>
            <w:vAlign w:val="center"/>
          </w:tcPr>
          <w:p>
            <w:pPr>
              <w:pStyle w:val="TableContents"/>
              <w:bidi w:val="0"/>
              <w:spacing w:before="0" w:after="283"/>
              <w:jc w:val="center"/>
              <w:rPr>
                <w:b/>
              </w:rPr>
            </w:pPr>
            <w:r>
              <w:rPr>
                <w:b/>
              </w:rPr>
              <w:t>Exhibit 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w:t>
            </w:r>
            <w:r>
              <w:rPr>
                <w:rFonts w:ascii="Times New Roman" w:hAnsi="Times New Roman"/>
                <w:caps w:val="false"/>
                <w:smallCaps w:val="false"/>
                <w:sz w:val="20"/>
              </w:rPr>
              <w:br/>
            </w:r>
            <w:r>
              <w:rPr>
                <w:rFonts w:ascii="Times New Roman" w:hAnsi="Times New Roman"/>
                <w:b/>
                <w:caps w:val="false"/>
                <w:smallCaps w:val="false"/>
                <w:sz w:val="20"/>
              </w:rPr>
              <w:t>File</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9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Filing</w:t>
            </w:r>
            <w:r>
              <w:rPr>
                <w:rFonts w:ascii="Times New Roman" w:hAnsi="Times New Roman"/>
                <w:caps w:val="false"/>
                <w:smallCaps w:val="false"/>
                <w:sz w:val="20"/>
              </w:rPr>
              <w:t> </w:t>
            </w:r>
            <w:r>
              <w:rPr>
                <w:rFonts w:ascii="Times New Roman" w:hAnsi="Times New Roman"/>
                <w:b/>
                <w:caps w:val="false"/>
                <w:smallCaps w:val="false"/>
                <w:sz w:val="20"/>
              </w:rPr>
              <w:t>Date</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02/18/2011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Certificate of Amendment of 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01/09/2024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Certificate of Amendment of 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06/25/2019</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Certificate of Amendment of 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10/25/2022</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Amended and Restated Bylaws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01/09/2024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Amended and Restated 2020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06/23/2026</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u w:val="single"/>
                </w:rPr>
                <w:t>Amended and Restated 2011 Employee Stock Purchase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06/23/2026</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hyperlink w:anchor="ex_994007.htm">
              <w:r>
                <w:rPr>
                  <w:rStyle w:val="InternetLink"/>
                </w:rPr>
                <w:t>Certification of Principal Executive Officer pursuant to Rules 13a-14(a) and 15d-14(a) promulgated under the Securities Exchange Act of 1934, as amended.</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12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hyperlink w:anchor="ex_994008.htm">
              <w:r>
                <w:rPr>
                  <w:rStyle w:val="InternetLink"/>
                </w:rPr>
                <w:t>Certification of Principal Financial and Accounting Officer pursuant to Rules 13a-14(a) and 15d-14(a) promulgated under the Securities Exchange Act of 1934, as amended.</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12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6074" w:type="dxa"/>
            <w:tcBorders/>
            <w:vAlign w:val="center"/>
          </w:tcPr>
          <w:p>
            <w:pPr>
              <w:pStyle w:val="TableContents"/>
              <w:bidi w:val="0"/>
              <w:spacing w:before="0" w:after="283"/>
              <w:jc w:val="left"/>
              <w:rPr/>
            </w:pPr>
            <w:hyperlink w:anchor="ex_994009.htm">
              <w:r>
                <w:rPr>
                  <w:rStyle w:val="InternetLink"/>
                </w:rPr>
                <w:t>Certifications of Chief Executive Officer and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12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60"/>
        <w:gridCol w:w="9750"/>
        <w:gridCol w:w="60"/>
      </w:tblGrid>
      <w:tr>
        <w:trPr/>
        <w:tc>
          <w:tcPr>
            <w:tcW w:w="33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The following financial information from Talphera, Inc.’s Quarterly Report on Form 10-Q for the quarter ended June 30, 2026, formatted in Inline XBRL (Extensible Business Reporting Language): (i) the Condensed Consolidated Balance Sheets (unaudited), (ii) the Condensed Consolidated Statements of Operations (unaudited), (iii) the Condensed Consolidated Statements of Stockholders’ Equity (unaudited), (iv) the Condensed Consolidated Statements of Cash Flows (unaudited), and (v) the Notes to Condensed Consolidated Financial Statements (unaudited).</w:t>
            </w:r>
          </w:p>
        </w:tc>
        <w:tc>
          <w:tcPr>
            <w:tcW w:w="6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Cover Page Interactive Data File (embedded within the Inline XBRL document).</w:t>
            </w:r>
          </w:p>
        </w:tc>
        <w:tc>
          <w:tcPr>
            <w:tcW w:w="60" w:type="dxa"/>
            <w:tcBorders/>
            <w:vAlign w:val="center"/>
          </w:tcPr>
          <w:p>
            <w:pPr>
              <w:pStyle w:val="TableContents"/>
              <w:bidi w:val="0"/>
              <w:spacing w:before="0" w:after="283"/>
              <w:jc w:val="left"/>
              <w:rPr/>
            </w:pPr>
            <w:r>
              <w:rPr/>
              <w:t> </w:t>
            </w:r>
          </w:p>
        </w:tc>
      </w:tr>
      <w:tr>
        <w:trPr/>
        <w:tc>
          <w:tcPr>
            <w:tcW w:w="33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58"/>
        <w:gridCol w:w="10147"/>
      </w:tblGrid>
      <w:tr>
        <w:trPr/>
        <w:tc>
          <w:tcPr>
            <w:tcW w:w="58" w:type="dxa"/>
            <w:tcBorders/>
            <w:vAlign w:val="center"/>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w:t>
            </w:r>
          </w:p>
        </w:tc>
        <w:tc>
          <w:tcPr>
            <w:tcW w:w="101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1865"/>
        <w:gridCol w:w="60"/>
        <w:gridCol w:w="3950"/>
      </w:tblGrid>
      <w:tr>
        <w:trPr/>
        <w:tc>
          <w:tcPr>
            <w:tcW w:w="1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August 12, 2026</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Talphera, Inc.</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Raffi Asadorian</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Raffi Asadorian</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Chief Financial Officer</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(Duly</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Authorized</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and</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Principal</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Financial and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50</w:t>
      </w:r>
    </w:p>
    <w:p>
      <w:pPr>
        <w:pStyle w:val="TextBody"/>
        <w:bidi w:val="0"/>
        <w:spacing w:before="0" w:after="0"/>
        <w:ind w:left="0" w:right="0" w:hanging="0"/>
        <w:jc w:val="left"/>
        <w:rPr>
          <w:caps w:val="false"/>
          <w:smallCaps w:val="false"/>
        </w:rPr>
      </w:pPr>
      <w:bookmarkStart w:id="2" w:name="ex_994007.htm"/>
      <w:bookmarkStart w:id="3" w:name="ksex_994007"/>
      <w:bookmarkEnd w:id="2"/>
      <w:bookmarkEnd w:id="3"/>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 xml:space="preserve">Exhibit 31.1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smallCaps/>
          <w:sz w:val="24"/>
        </w:rPr>
        <w:t>C</w:t>
      </w:r>
      <w:r>
        <w:rPr>
          <w:rFonts w:ascii="Times New Roman" w:hAnsi="Times New Roman"/>
          <w:b/>
          <w:caps w:val="false"/>
          <w:smallCaps w:val="false"/>
          <w:sz w:val="24"/>
        </w:rPr>
        <w:t xml:space="preserve">ERTIFICATION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Vincent J. Angotti,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Talphera,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2375"/>
      </w:tblGrid>
      <w:tr>
        <w:trPr/>
        <w:tc>
          <w:tcPr>
            <w:tcW w:w="2375" w:type="dxa"/>
            <w:tcBorders/>
            <w:vAlign w:val="center"/>
          </w:tcPr>
          <w:p>
            <w:pPr>
              <w:pStyle w:val="TableContents"/>
              <w:bidi w:val="0"/>
              <w:spacing w:before="0" w:after="283"/>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Vincent J. Angotti</w:t>
            </w:r>
          </w:p>
        </w:tc>
      </w:tr>
      <w:tr>
        <w:trPr/>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J. Angotti</w:t>
            </w:r>
          </w:p>
        </w:tc>
      </w:tr>
      <w:tr>
        <w:trPr/>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r>
      <w:tr>
        <w:trPr/>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 w:name="ex_994008.htm"/>
      <w:bookmarkStart w:id="5" w:name="ksex_994008"/>
      <w:bookmarkEnd w:id="4"/>
      <w:bookmarkEnd w:id="5"/>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 xml:space="preserve">Exhibit 31.2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sz w:val="24"/>
        </w:rPr>
        <w:t>C</w:t>
      </w:r>
      <w:r>
        <w:rPr>
          <w:rFonts w:ascii="Times New Roman" w:hAnsi="Times New Roman"/>
          <w:b/>
          <w:caps w:val="false"/>
          <w:smallCaps w:val="false"/>
          <w:sz w:val="24"/>
        </w:rPr>
        <w:t xml:space="preserve">ERTIFICATION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Raffi Asadorian,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Talphera,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65" w:type="dxa"/>
        <w:jc w:val="left"/>
        <w:tblInd w:w="0" w:type="dxa"/>
        <w:tblLayout w:type="fixed"/>
        <w:tblCellMar>
          <w:top w:w="0" w:type="dxa"/>
          <w:left w:w="0" w:type="dxa"/>
          <w:bottom w:w="28" w:type="dxa"/>
          <w:right w:w="0" w:type="dxa"/>
        </w:tblCellMar>
      </w:tblPr>
      <w:tblGrid>
        <w:gridCol w:w="3665"/>
      </w:tblGrid>
      <w:tr>
        <w:trPr/>
        <w:tc>
          <w:tcPr>
            <w:tcW w:w="36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Raffi Asadorian</w:t>
            </w:r>
          </w:p>
        </w:tc>
      </w:tr>
      <w:tr>
        <w:trPr/>
        <w:tc>
          <w:tcPr>
            <w:tcW w:w="36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Raffi Asadorian</w:t>
            </w:r>
          </w:p>
        </w:tc>
      </w:tr>
      <w:tr>
        <w:trPr/>
        <w:tc>
          <w:tcPr>
            <w:tcW w:w="36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r>
      <w:tr>
        <w:trPr/>
        <w:tc>
          <w:tcPr>
            <w:tcW w:w="36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6" w:name="ex_994009.htm"/>
      <w:bookmarkStart w:id="7" w:name="ksex_994009"/>
      <w:bookmarkEnd w:id="6"/>
      <w:bookmarkEnd w:id="7"/>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 xml:space="preserve">Exhibit 32.1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sz w:val="24"/>
        </w:rPr>
        <w:t>C</w:t>
      </w:r>
      <w:r>
        <w:rPr>
          <w:rFonts w:ascii="Times New Roman" w:hAnsi="Times New Roman"/>
          <w:b/>
          <w:caps w:val="false"/>
          <w:smallCaps w:val="false"/>
          <w:sz w:val="24"/>
        </w:rPr>
        <w:t xml:space="preserve">ERTIFICATION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 set forth in Rule 13a-14(b) of the Securities Exchange Act of 1934, as amended (the “Exchange Act”), and Section 1350 of Chapter 63 of Title 18 of the United States Code (18 U.S.C. §1350), Vincent J. Angotti, Chief Executive Officer of Talphera, Inc. (the “Company”), and Raffi Asadorian, Chief Financial Officer of the Company, each hereby certifies that, to the best of his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10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Quarterly Report on Form 10-Q for the period ended June 30, 2026, to which this Certification is attached as Exhibit 32.1 (the “Periodic Report”) fully complies with the requirements of Section 13(a) or Section 15(d) of the Exchange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2.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Periodic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undersigned has set his hands hereto as of the 12th day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28" w:type="dxa"/>
          <w:right w:w="0" w:type="dxa"/>
        </w:tblCellMar>
      </w:tblPr>
      <w:tblGrid>
        <w:gridCol w:w="1940"/>
        <w:gridCol w:w="60"/>
        <w:gridCol w:w="2000"/>
      </w:tblGrid>
      <w:tr>
        <w:trPr/>
        <w:tc>
          <w:tcPr>
            <w:tcW w:w="19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Vincent J. Angotti</w:t>
            </w:r>
          </w:p>
        </w:tc>
        <w:tc>
          <w:tcPr>
            <w:tcW w:w="60" w:type="dxa"/>
            <w:tcBorders/>
            <w:tcMar>
              <w:bottom w:w="0" w:type="dxa"/>
            </w:tcMar>
            <w:vAlign w:val="center"/>
          </w:tcPr>
          <w:p>
            <w:pPr>
              <w:pStyle w:val="TableContents"/>
              <w:bidi w:val="0"/>
              <w:spacing w:before="0" w:after="283"/>
              <w:jc w:val="left"/>
              <w:rPr/>
            </w:pPr>
            <w:r>
              <w:rPr/>
              <w:t> </w:t>
            </w:r>
          </w:p>
        </w:tc>
        <w:tc>
          <w:tcPr>
            <w:tcW w:w="20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Raffi Asadorian</w:t>
            </w:r>
          </w:p>
        </w:tc>
      </w:tr>
      <w:tr>
        <w:trPr/>
        <w:tc>
          <w:tcPr>
            <w:tcW w:w="19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Vincent J. Angotti</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Raffi Asadorian</w:t>
            </w:r>
          </w:p>
        </w:tc>
      </w:tr>
      <w:tr>
        <w:trPr/>
        <w:tc>
          <w:tcPr>
            <w:tcW w:w="19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certification accompanies the Form 10-Q to which it relates, is not deemed filed with the Securities and Exchange Commission and is not to be incorporated by reference into any filing of Talphera,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27925/000119312511040233/dex31.htm" TargetMode="External"/><Relationship Id="rId3" Type="http://schemas.openxmlformats.org/officeDocument/2006/relationships/hyperlink" Target="http://www.sec.gov/Archives/edgar/data/1427925/000143774924000938/ex_613231.htm" TargetMode="External"/><Relationship Id="rId4" Type="http://schemas.openxmlformats.org/officeDocument/2006/relationships/hyperlink" Target="http://www.sec.gov/Archives/edgar/data/1427925/000143774919012706/ex_148566.htm" TargetMode="External"/><Relationship Id="rId5" Type="http://schemas.openxmlformats.org/officeDocument/2006/relationships/hyperlink" Target="http://www.sec.gov/Archives/edgar/data/1427925/000143774922024708/ex_436724.htm" TargetMode="External"/><Relationship Id="rId6" Type="http://schemas.openxmlformats.org/officeDocument/2006/relationships/hyperlink" Target="http://www.sec.gov/Archives/edgar/data/1427925/000143774924000938/ex_613232.htm" TargetMode="External"/><Relationship Id="rId7" Type="http://schemas.openxmlformats.org/officeDocument/2006/relationships/hyperlink" Target="http://www.sec.gov/Archives/edgar/data/1427925/000143774926021446/ex_979677.htm" TargetMode="External"/><Relationship Id="rId8" Type="http://schemas.openxmlformats.org/officeDocument/2006/relationships/hyperlink" Target="http://www.sec.gov/Archives/edgar/data/1427925/000143774926021446/ex_979678.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31595</Words>
  <Characters>176718</Characters>
  <CharactersWithSpaces>209938</CharactersWithSpaces>
  <Paragraphs>5366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