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TALPHERA,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42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001-35068</w:t>
            </w:r>
          </w:p>
        </w:tc>
        <w:tc>
          <w:tcPr>
            <w:tcW w:w="580" w:type="dxa"/>
            <w:vAlign w:val="bottom"/>
          </w:tcPr>
          <w:p>
            <w:pPr>
              <w:spacing w:after="0"/>
              <w:rPr>
                <w:sz w:val="20"/>
                <w:szCs w:val="20"/>
                <w:color w:val="auto"/>
              </w:rPr>
            </w:pPr>
          </w:p>
        </w:tc>
        <w:tc>
          <w:tcPr>
            <w:tcW w:w="322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41-2193603</w:t>
            </w:r>
          </w:p>
        </w:tc>
      </w:tr>
      <w:tr>
        <w:trPr>
          <w:trHeight w:val="228"/>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58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58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1850 Gateway Drive, Suite 175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Mateo, CA 94404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216-3500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980" w:hanging="3572"/>
        <w:spacing w:after="0" w:line="511"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TLPH</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described under Item 5.07 of this Current Report on Form 8-K, on June 22, 2026, at the 2026 Annual Meeting of Stockholders (the “Annual Meeting”) of Talphera, Inc. (the “Company”), the Company’s stockholders, upon the recommendation of the Company’s Board of Directors (the “Board”), approved an amendment and restatement of the Company’s Amended and Restated 2020 Equity Incentive Plan (the “2020 EIP”), and an amendment and restatement of the Company’s Amended and Restated the Company’s 2011 Employee Stock Purchase Plan (the “2011 ESPP”).</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 summary of both the 2020 EIP and 2011 ESPP is set forth in the Company’s definitive proxy statement on Schedule 14A filed on April 29, 2026 for the Annual Meeting. That summary is qualified in its entirety by reference to the terms of the 2020 EIP and 2011 ESPP, copies of which are filed as Exhibits 10.1 and 10.2, respectively, to this Current Report on Form 8-K and are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Annual Meeting of the Company was held on June 22, 2026. Proxies for the Annual Meeting were solicited by the Board pursuant to Section 14(a) of the Securities Exchange Act of 1934, as amended, and there was no solicitation in opposition. At the Annual Meeting, a total of 31,436,937 shares were represented in person or by proxy out of the 51,899,648 shares of common stock entitled to vote as of April 24, 2026, the record date for the Annual Meeting. The final votes on the proposals presented at the Annual Meeting were as follows: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1</w:t>
      </w:r>
    </w:p>
    <w:p>
      <w:pPr>
        <w:spacing w:after="0" w:line="227"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Marina Bozilenko, Joseph Todisco and Mark Wan were elected as Class III directors, by a plurality of the votes entitled to vote on the election of directors, to hold office until the 2029 Annual Meeting of Stockholders by the following vote:</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21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Marina Bozilenko</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23,303,306</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400,888</w:t>
            </w: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7,732,743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Todisco</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23,433,045</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271,149</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7,732,743</w:t>
            </w:r>
          </w:p>
        </w:tc>
        <w:tc>
          <w:tcPr>
            <w:tcW w:w="100" w:type="dxa"/>
            <w:vAlign w:val="bottom"/>
          </w:tcPr>
          <w:p>
            <w:pPr>
              <w:spacing w:after="0"/>
              <w:rPr>
                <w:sz w:val="18"/>
                <w:szCs w:val="18"/>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Wan</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23,213,162</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491,032</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7,732,743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In addition to the directors elected above, Adrian Adams and Jill Broadfoot will continue to serve as directors until the 2027 Annual Meeting of Stockholders, and Vincent J. Angotti, Stephen J. Hoffman, M.D., Ph.D. and Abhinav Jain will continue to serve as directors until the 2028 Annual Meeting of Stockholders, and, in each case until their successors are elected and qualified, or until their earlier death, resignation or removal.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2</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selection by the Audit Committee of the Board of BPM LLP as the Company’s independent registered public accounting firm for the year ending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ratified by the following vote: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3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31,019,362</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356,608</w:t>
            </w:r>
          </w:p>
        </w:tc>
        <w:tc>
          <w:tcPr>
            <w:tcW w:w="2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60,967</w:t>
            </w:r>
          </w:p>
        </w:tc>
        <w:tc>
          <w:tcPr>
            <w:tcW w:w="2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3</w:t>
      </w:r>
    </w:p>
    <w:p>
      <w:pPr>
        <w:spacing w:after="0" w:line="227"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The compensation paid to the Company’s named executive officers, as disclosed pursuant to Item 402 of Regulation S-K, compensation tables and narrative discussion was approved, on an advisory basis,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22,874,586</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786,249</w:t>
            </w:r>
          </w:p>
        </w:tc>
        <w:tc>
          <w:tcPr>
            <w:tcW w:w="2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43,359</w:t>
            </w:r>
          </w:p>
        </w:tc>
        <w:tc>
          <w:tcPr>
            <w:tcW w:w="2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7,732,743</w:t>
            </w:r>
          </w:p>
        </w:tc>
        <w:tc>
          <w:tcPr>
            <w:tcW w:w="80" w:type="dxa"/>
            <w:vAlign w:val="bottom"/>
          </w:tcPr>
          <w:p>
            <w:pPr>
              <w:spacing w:after="0"/>
              <w:rPr>
                <w:sz w:val="18"/>
                <w:szCs w:val="18"/>
                <w:color w:val="auto"/>
              </w:rPr>
            </w:pPr>
          </w:p>
        </w:tc>
      </w:tr>
      <w:tr>
        <w:trPr>
          <w:trHeight w:val="331"/>
        </w:trPr>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Proposal No. 4</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2020 EIP was approved, by the following vote:</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3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22,602,504</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1,068,623</w:t>
            </w:r>
          </w:p>
        </w:tc>
        <w:tc>
          <w:tcPr>
            <w:tcW w:w="2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33,067</w:t>
            </w:r>
          </w:p>
        </w:tc>
        <w:tc>
          <w:tcPr>
            <w:tcW w:w="2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7,732,743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2011 ESPP was approved, by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500" w:type="dxa"/>
            <w:vAlign w:val="bottom"/>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23,020,334</w:t>
            </w: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657,322</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26,538</w:t>
            </w:r>
          </w:p>
        </w:tc>
        <w:tc>
          <w:tcPr>
            <w:tcW w:w="2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7,732,743</w:t>
            </w: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86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9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00" w:type="dxa"/>
            <w:vAlign w:val="bottom"/>
          </w:tcPr>
          <w:p>
            <w:pPr>
              <w:spacing w:after="0"/>
              <w:rPr>
                <w:sz w:val="24"/>
                <w:szCs w:val="24"/>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2020 Equity Incentive Plan</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2011 Employee Stock Purchase Plan</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Pr>
          <w:p>
            <w:pPr>
              <w:spacing w:after="0"/>
              <w:rPr>
                <w:sz w:val="17"/>
                <w:szCs w:val="17"/>
                <w:color w:val="auto"/>
              </w:rPr>
            </w:pPr>
          </w:p>
        </w:tc>
      </w:tr>
    </w:tbl>
    <w:p>
      <w:pPr>
        <w:spacing w:after="0" w:line="9" w:lineRule="exact"/>
        <w:rPr>
          <w:sz w:val="20"/>
          <w:szCs w:val="20"/>
          <w:color w:val="auto"/>
        </w:rPr>
      </w:pPr>
    </w:p>
    <w:p>
      <w:pPr>
        <w:ind w:right="3800" w:firstLine="8"/>
        <w:spacing w:after="0" w:line="673" w:lineRule="auto"/>
        <w:tabs>
          <w:tab w:leader="none" w:pos="1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1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5" w:right="41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7"/>
          <w:szCs w:val="17"/>
          <w:color w:val="auto"/>
        </w:rPr>
        <w:t>TALPHERA, INC.</w:t>
      </w:r>
    </w:p>
    <w:p>
      <w:pPr>
        <w:spacing w:after="0" w:line="225" w:lineRule="exact"/>
        <w:rPr>
          <w:sz w:val="20"/>
          <w:szCs w:val="20"/>
          <w:color w:val="auto"/>
        </w:rPr>
      </w:pPr>
    </w:p>
    <w:p>
      <w:pPr>
        <w:ind w:left="530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Raffi Asadorian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Raffi Asadorian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333"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AMENDED AND RESTATED 2020 EQUITY INCENTIVE PLAN</w:t>
      </w:r>
    </w:p>
    <w:p>
      <w:pPr>
        <w:spacing w:after="0" w:line="200" w:lineRule="exact"/>
        <w:rPr>
          <w:sz w:val="20"/>
          <w:szCs w:val="20"/>
          <w:color w:val="auto"/>
        </w:rPr>
      </w:pPr>
    </w:p>
    <w:p>
      <w:pPr>
        <w:spacing w:after="0" w:line="24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riginally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16, 2020</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riginally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16, 2020</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20, 2021</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17, 2021</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ugust</w:t>
      </w:r>
      <w:r>
        <w:rPr>
          <w:rFonts w:ascii="Times New Roman" w:cs="Times New Roman" w:eastAsia="Times New Roman" w:hAnsi="Times New Roman"/>
          <w:sz w:val="18"/>
          <w:szCs w:val="18"/>
          <w:b w:val="1"/>
          <w:bCs w:val="1"/>
          <w:color w:val="auto"/>
        </w:rPr>
        <w:t xml:space="preserve"> 22, 2023</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ctober</w:t>
      </w:r>
      <w:r>
        <w:rPr>
          <w:rFonts w:ascii="Times New Roman" w:cs="Times New Roman" w:eastAsia="Times New Roman" w:hAnsi="Times New Roman"/>
          <w:sz w:val="18"/>
          <w:szCs w:val="18"/>
          <w:b w:val="1"/>
          <w:bCs w:val="1"/>
          <w:color w:val="auto"/>
        </w:rPr>
        <w:t xml:space="preserve"> 10, 2023</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19, 2024</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24, 2024</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ugust</w:t>
      </w:r>
      <w:r>
        <w:rPr>
          <w:rFonts w:ascii="Times New Roman" w:cs="Times New Roman" w:eastAsia="Times New Roman" w:hAnsi="Times New Roman"/>
          <w:sz w:val="18"/>
          <w:szCs w:val="18"/>
          <w:b w:val="1"/>
          <w:bCs w:val="1"/>
          <w:color w:val="auto"/>
        </w:rPr>
        <w:t xml:space="preserve"> 28, 2025</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ctober</w:t>
      </w:r>
      <w:r>
        <w:rPr>
          <w:rFonts w:ascii="Times New Roman" w:cs="Times New Roman" w:eastAsia="Times New Roman" w:hAnsi="Times New Roman"/>
          <w:sz w:val="18"/>
          <w:szCs w:val="18"/>
          <w:b w:val="1"/>
          <w:bCs w:val="1"/>
          <w:color w:val="auto"/>
        </w:rPr>
        <w:t xml:space="preserve"> 23, 2025</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23, 2026</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820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6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w:t>
            </w:r>
            <w:r>
              <w:rPr>
                <w:rFonts w:ascii="Times New Roman" w:cs="Times New Roman" w:eastAsia="Times New Roman" w:hAnsi="Times New Roman"/>
                <w:sz w:val="12"/>
                <w:szCs w:val="12"/>
                <w:b w:val="1"/>
                <w:bCs w:val="1"/>
                <w:color w:val="auto"/>
              </w:rPr>
              <w:t>a</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820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i.</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051"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Effective Date,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02"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68"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88"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w:t>
      </w:r>
      <w:r>
        <w:rPr>
          <w:rFonts w:ascii="Times New Roman" w:cs="Times New Roman" w:eastAsia="Times New Roman" w:hAnsi="Times New Roman"/>
          <w:sz w:val="18"/>
          <w:szCs w:val="18"/>
          <w:color w:val="auto"/>
        </w:rPr>
        <w:t>The Plan will come into existence on the Adoption Date. No Award may be granted under the Plan prior to the Adoption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Any Award granted prior to the Effective Date is contingent upon timely receipt of stockholder approval to the extent required under applicable tax, securities and regulatory rules, and satisfaction of any other compliance requirements.</w:t>
      </w:r>
    </w:p>
    <w:p>
      <w:pPr>
        <w:spacing w:after="0" w:line="170"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8,561,395 shares plus the applicable number of any Returning Shares. The share reserve will be increased by the number of Returning Shares, if any, as such shares become available from time to time, for an additional number of shares not to exceed 744,608 shares.</w:t>
      </w:r>
    </w:p>
    <w:p>
      <w:pPr>
        <w:spacing w:after="0" w:line="176" w:lineRule="exact"/>
        <w:rPr>
          <w:sz w:val="20"/>
          <w:szCs w:val="20"/>
          <w:color w:val="auto"/>
        </w:rPr>
      </w:pPr>
    </w:p>
    <w:p>
      <w:pPr>
        <w:jc w:val="both"/>
        <w:ind w:firstLine="656"/>
        <w:spacing w:after="0" w:line="268" w:lineRule="auto"/>
        <w:tabs>
          <w:tab w:leader="none" w:pos="111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13,500,000 shares.</w:t>
      </w:r>
    </w:p>
    <w:p>
      <w:pPr>
        <w:spacing w:after="0" w:line="170"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5" w:lineRule="exact"/>
        <w:rPr>
          <w:rFonts w:ascii="Times New Roman" w:cs="Times New Roman" w:eastAsia="Times New Roman" w:hAnsi="Times New Roman"/>
          <w:sz w:val="18"/>
          <w:szCs w:val="18"/>
          <w:b w:val="1"/>
          <w:bCs w:val="1"/>
          <w:color w:val="auto"/>
        </w:rPr>
      </w:pPr>
    </w:p>
    <w:p>
      <w:pPr>
        <w:jc w:val="both"/>
        <w:ind w:left="100" w:firstLine="970"/>
        <w:spacing w:after="0" w:line="257" w:lineRule="auto"/>
        <w:tabs>
          <w:tab w:leader="none" w:pos="1476"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jc w:val="both"/>
        <w:ind w:left="100" w:firstLine="970"/>
        <w:spacing w:after="0" w:line="262" w:lineRule="auto"/>
        <w:tabs>
          <w:tab w:leader="none" w:pos="153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or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w:t>
      </w:r>
    </w:p>
    <w:p>
      <w:pPr>
        <w:spacing w:after="0" w:line="176" w:lineRule="exact"/>
        <w:rPr>
          <w:rFonts w:ascii="Times New Roman" w:cs="Times New Roman" w:eastAsia="Times New Roman" w:hAnsi="Times New Roman"/>
          <w:sz w:val="18"/>
          <w:szCs w:val="18"/>
          <w:b w:val="1"/>
          <w:bCs w:val="1"/>
          <w:color w:val="auto"/>
        </w:rPr>
      </w:pPr>
    </w:p>
    <w:p>
      <w:pPr>
        <w:jc w:val="both"/>
        <w:ind w:left="100" w:firstLine="970"/>
        <w:spacing w:after="0" w:line="262" w:lineRule="auto"/>
        <w:tabs>
          <w:tab w:leader="none" w:pos="154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Shares of Common Stock previously issued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Award and accordingly initially deducted from the Share Reserve that are forfeited back to or repurchased by the Company because of a failure to meet a contingency or condition required for the vesting of such shares will be added back to the Share Reserve and again become available for issuance under the Plan.</w:t>
      </w:r>
    </w:p>
    <w:p>
      <w:pPr>
        <w:spacing w:after="0" w:line="176" w:lineRule="exact"/>
        <w:rPr>
          <w:rFonts w:ascii="Times New Roman" w:cs="Times New Roman" w:eastAsia="Times New Roman" w:hAnsi="Times New Roman"/>
          <w:sz w:val="18"/>
          <w:szCs w:val="18"/>
          <w:b w:val="1"/>
          <w:bCs w:val="1"/>
          <w:color w:val="auto"/>
        </w:rPr>
      </w:pPr>
    </w:p>
    <w:p>
      <w:pPr>
        <w:jc w:val="both"/>
        <w:ind w:left="100" w:firstLine="970"/>
        <w:spacing w:after="0" w:line="262" w:lineRule="auto"/>
        <w:tabs>
          <w:tab w:leader="none" w:pos="1525"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Not Available For Subsequent Issuance</w:t>
      </w:r>
      <w:r>
        <w:rPr>
          <w:rFonts w:ascii="Times New Roman" w:cs="Times New Roman" w:eastAsia="Times New Roman" w:hAnsi="Times New Roman"/>
          <w:sz w:val="18"/>
          <w:szCs w:val="18"/>
          <w:color w:val="auto"/>
        </w:rPr>
        <w:t>. Any shares that (i) are reacquired by the Company to satisfy the exercise, strike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of an Award, (ii) are reacquired by the Company to satisfy a tax withholding obligation in connection with an Award, or (iii) are repurchased by the Company on the open market with the proceeds of the exercise or purchase price of an Award, or (iv) are from a Stock Appreciation Right that is settled in shares, will not again become available for issuance under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760" w:hanging="752"/>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5" w:lineRule="exact"/>
        <w:rPr>
          <w:rFonts w:ascii="Times New Roman" w:cs="Times New Roman" w:eastAsia="Times New Roman" w:hAnsi="Times New Roman"/>
          <w:sz w:val="18"/>
          <w:szCs w:val="18"/>
          <w:b w:val="1"/>
          <w:bCs w:val="1"/>
          <w:color w:val="auto"/>
        </w:rPr>
      </w:pPr>
    </w:p>
    <w:p>
      <w:pPr>
        <w:ind w:left="100" w:firstLine="970"/>
        <w:spacing w:after="0" w:line="286" w:lineRule="auto"/>
        <w:tabs>
          <w:tab w:leader="none" w:pos="1435"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jc w:val="both"/>
        <w:ind w:left="100" w:firstLine="970"/>
        <w:spacing w:after="0" w:line="257" w:lineRule="auto"/>
        <w:tabs>
          <w:tab w:leader="none" w:pos="1485"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2" w:lineRule="exact"/>
        <w:rPr>
          <w:rFonts w:ascii="Times New Roman" w:cs="Times New Roman" w:eastAsia="Times New Roman" w:hAnsi="Times New Roman"/>
          <w:sz w:val="18"/>
          <w:szCs w:val="18"/>
          <w:b w:val="1"/>
          <w:bCs w:val="1"/>
          <w:color w:val="auto"/>
        </w:rPr>
      </w:pPr>
    </w:p>
    <w:p>
      <w:pPr>
        <w:jc w:val="both"/>
        <w:ind w:left="100" w:firstLine="970"/>
        <w:spacing w:after="0" w:line="268" w:lineRule="auto"/>
        <w:tabs>
          <w:tab w:leader="none" w:pos="1535"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jc w:val="both"/>
        <w:ind w:left="100" w:firstLine="970"/>
        <w:spacing w:after="0" w:line="262" w:lineRule="auto"/>
        <w:tabs>
          <w:tab w:leader="none" w:pos="1552"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4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88"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including Awards granted and cash fees paid by the Company to such Non-Employee Director, will not exceed (i) $500,000 in total value or (ii) in the event such Non-Employee Director is first appointed or elected to the Board during such annual period, $750,000 in total value, in each case calculating the value of any equity awards based on the grant date fair value of such equity awards for financial reporting purposes.</w:t>
      </w:r>
    </w:p>
    <w:p>
      <w:pPr>
        <w:spacing w:after="0" w:line="182"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firstLine="656"/>
        <w:spacing w:after="0" w:line="286" w:lineRule="auto"/>
        <w:tabs>
          <w:tab w:leader="none" w:pos="10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08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656"/>
        <w:spacing w:after="0" w:line="257" w:lineRule="auto"/>
        <w:tabs>
          <w:tab w:leader="none" w:pos="108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6" w:lineRule="exact"/>
        <w:rPr>
          <w:rFonts w:ascii="Times New Roman" w:cs="Times New Roman" w:eastAsia="Times New Roman" w:hAnsi="Times New Roman"/>
          <w:sz w:val="18"/>
          <w:szCs w:val="18"/>
          <w:b w:val="1"/>
          <w:bCs w:val="1"/>
          <w:color w:val="auto"/>
        </w:rPr>
      </w:pPr>
    </w:p>
    <w:p>
      <w:pPr>
        <w:ind w:left="1420" w:hanging="350"/>
        <w:spacing w:after="0"/>
        <w:tabs>
          <w:tab w:leader="none" w:pos="14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jc w:val="both"/>
        <w:ind w:left="100" w:firstLine="970"/>
        <w:spacing w:after="0" w:line="266" w:lineRule="auto"/>
        <w:tabs>
          <w:tab w:leader="none" w:pos="1516"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jc w:val="both"/>
        <w:ind w:left="100" w:firstLine="970"/>
        <w:spacing w:after="0" w:line="255" w:lineRule="auto"/>
        <w:tabs>
          <w:tab w:leader="none" w:pos="1617"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100" w:firstLine="970"/>
        <w:spacing w:after="0" w:line="261" w:lineRule="auto"/>
        <w:tabs>
          <w:tab w:leader="none" w:pos="1525"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9" w:lineRule="exact"/>
        <w:rPr>
          <w:rFonts w:ascii="Times New Roman" w:cs="Times New Roman" w:eastAsia="Times New Roman" w:hAnsi="Times New Roman"/>
          <w:sz w:val="18"/>
          <w:szCs w:val="18"/>
          <w:b w:val="1"/>
          <w:bCs w:val="1"/>
          <w:color w:val="auto"/>
        </w:rPr>
      </w:pPr>
    </w:p>
    <w:p>
      <w:pPr>
        <w:ind w:left="1460" w:hanging="390"/>
        <w:spacing w:after="0"/>
        <w:tabs>
          <w:tab w:leader="none" w:pos="14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10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1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jc w:val="both"/>
        <w:ind w:left="100" w:firstLine="970"/>
        <w:spacing w:after="0" w:line="259" w:lineRule="auto"/>
        <w:tabs>
          <w:tab w:leader="none" w:pos="142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jc w:val="both"/>
        <w:ind w:left="100" w:right="20" w:firstLine="970"/>
        <w:spacing w:after="0" w:line="268" w:lineRule="auto"/>
        <w:tabs>
          <w:tab w:leader="none" w:pos="147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2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656"/>
        <w:spacing w:after="0" w:line="257" w:lineRule="auto"/>
        <w:tabs>
          <w:tab w:leader="none" w:pos="103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10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left="100" w:firstLine="970"/>
        <w:spacing w:after="0" w:line="282" w:lineRule="auto"/>
        <w:tabs>
          <w:tab w:leader="none" w:pos="1442"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1460" w:hanging="390"/>
        <w:spacing w:after="0"/>
        <w:tabs>
          <w:tab w:leader="none" w:pos="14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1520" w:hanging="450"/>
        <w:spacing w:after="0"/>
        <w:tabs>
          <w:tab w:leader="none" w:pos="15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left="100" w:firstLine="970"/>
        <w:spacing w:after="0" w:line="282" w:lineRule="auto"/>
        <w:tabs>
          <w:tab w:leader="none" w:pos="1583"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76" w:lineRule="exact"/>
        <w:rPr>
          <w:sz w:val="20"/>
          <w:szCs w:val="20"/>
          <w:color w:val="auto"/>
        </w:rPr>
      </w:pPr>
    </w:p>
    <w:p>
      <w:pPr>
        <w:jc w:val="both"/>
        <w:ind w:firstLine="656"/>
        <w:spacing w:after="0" w:line="254" w:lineRule="auto"/>
        <w:tabs>
          <w:tab w:leader="none" w:pos="1038"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08"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 is a non-exempt employee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4"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 Stock or their equivalents.</w:t>
      </w:r>
    </w:p>
    <w:p>
      <w:pPr>
        <w:spacing w:after="0" w:line="225"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4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1420" w:hanging="350"/>
        <w:spacing w:after="0"/>
        <w:tabs>
          <w:tab w:leader="none" w:pos="14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9" w:lineRule="exact"/>
        <w:rPr>
          <w:rFonts w:ascii="Times New Roman" w:cs="Times New Roman" w:eastAsia="Times New Roman" w:hAnsi="Times New Roman"/>
          <w:sz w:val="18"/>
          <w:szCs w:val="18"/>
          <w:b w:val="1"/>
          <w:bCs w:val="1"/>
          <w:color w:val="auto"/>
        </w:rPr>
      </w:pPr>
    </w:p>
    <w:p>
      <w:pPr>
        <w:jc w:val="both"/>
        <w:ind w:firstLine="1466"/>
        <w:spacing w:after="0" w:line="261" w:lineRule="auto"/>
        <w:tabs>
          <w:tab w:leader="none" w:pos="1953"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79"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868"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3" w:lineRule="exact"/>
        <w:rPr>
          <w:rFonts w:ascii="Times New Roman" w:cs="Times New Roman" w:eastAsia="Times New Roman" w:hAnsi="Times New Roman"/>
          <w:sz w:val="18"/>
          <w:szCs w:val="18"/>
          <w:b w:val="1"/>
          <w:bCs w:val="1"/>
          <w:color w:val="auto"/>
        </w:rPr>
      </w:pPr>
    </w:p>
    <w:p>
      <w:pPr>
        <w:ind w:left="1460" w:hanging="390"/>
        <w:spacing w:after="0"/>
        <w:tabs>
          <w:tab w:leader="none" w:pos="14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9" w:lineRule="exact"/>
        <w:rPr>
          <w:rFonts w:ascii="Times New Roman" w:cs="Times New Roman" w:eastAsia="Times New Roman" w:hAnsi="Times New Roman"/>
          <w:sz w:val="18"/>
          <w:szCs w:val="18"/>
          <w:b w:val="1"/>
          <w:bCs w:val="1"/>
          <w:color w:val="auto"/>
        </w:rPr>
      </w:pPr>
    </w:p>
    <w:p>
      <w:pPr>
        <w:jc w:val="both"/>
        <w:ind w:firstLine="1466"/>
        <w:spacing w:after="0" w:line="266" w:lineRule="auto"/>
        <w:tabs>
          <w:tab w:leader="none" w:pos="186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93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jc w:val="both"/>
        <w:ind w:left="100" w:firstLine="970"/>
        <w:spacing w:after="0" w:line="268" w:lineRule="auto"/>
        <w:tabs>
          <w:tab w:leader="none" w:pos="1603"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left="100" w:firstLine="970"/>
        <w:spacing w:after="0" w:line="257" w:lineRule="auto"/>
        <w:tabs>
          <w:tab w:leader="none" w:pos="1566"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jc w:val="both"/>
        <w:ind w:left="100" w:firstLine="970"/>
        <w:spacing w:after="0" w:line="270" w:lineRule="auto"/>
        <w:tabs>
          <w:tab w:leader="none" w:pos="1489"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Dividend Equivalents. </w:t>
      </w:r>
      <w:r>
        <w:rPr>
          <w:rFonts w:ascii="Times New Roman" w:cs="Times New Roman" w:eastAsia="Times New Roman" w:hAnsi="Times New Roman"/>
          <w:sz w:val="17"/>
          <w:szCs w:val="17"/>
          <w:color w:val="auto"/>
        </w:rPr>
        <w:t>Dividends or dividend equivalents may be paid or credited, as applicable,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subject to a Restricted Stock Award or RSU Award, as determined by the Board and specified in the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w:t>
      </w:r>
    </w:p>
    <w:p>
      <w:pPr>
        <w:spacing w:after="0" w:line="2" w:lineRule="exact"/>
        <w:rPr>
          <w:rFonts w:ascii="Times New Roman" w:cs="Times New Roman" w:eastAsia="Times New Roman" w:hAnsi="Times New Roman"/>
          <w:sz w:val="17"/>
          <w:szCs w:val="17"/>
          <w:b w:val="1"/>
          <w:bCs w:val="1"/>
          <w:color w:val="auto"/>
        </w:rPr>
      </w:pPr>
    </w:p>
    <w:p>
      <w:pPr>
        <w:ind w:left="100" w:right="20" w:hanging="2"/>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dividend equivalents that are credited with respect to any such shares will be forfeited to the Company on the date such shares are forfeited to or repurchased by the Company due to a failure to vest.</w:t>
      </w:r>
    </w:p>
    <w:p>
      <w:pPr>
        <w:spacing w:after="0" w:line="177" w:lineRule="exact"/>
        <w:rPr>
          <w:rFonts w:ascii="Times New Roman" w:cs="Times New Roman" w:eastAsia="Times New Roman" w:hAnsi="Times New Roman"/>
          <w:sz w:val="18"/>
          <w:szCs w:val="18"/>
          <w:color w:val="auto"/>
        </w:rPr>
      </w:pPr>
    </w:p>
    <w:p>
      <w:pPr>
        <w:jc w:val="both"/>
        <w:ind w:left="100" w:firstLine="970"/>
        <w:spacing w:after="0" w:line="268" w:lineRule="auto"/>
        <w:tabs>
          <w:tab w:leader="none" w:pos="153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1" w:lineRule="exact"/>
        <w:rPr>
          <w:sz w:val="20"/>
          <w:szCs w:val="20"/>
          <w:color w:val="auto"/>
        </w:rPr>
      </w:pPr>
    </w:p>
    <w:p>
      <w:pPr>
        <w:jc w:val="both"/>
        <w:ind w:firstLine="656"/>
        <w:spacing w:after="0" w:line="268" w:lineRule="auto"/>
        <w:tabs>
          <w:tab w:leader="none" w:pos="115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ind w:firstLine="656"/>
        <w:spacing w:after="0" w:line="257" w:lineRule="auto"/>
        <w:tabs>
          <w:tab w:leader="none" w:pos="1081"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82"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78"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equivalent benefit for any fractional shares or rights to fractional shares that might be created by the adjustments referred to in the preceding provisions of this Section.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129"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27"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jc w:val="both"/>
        <w:ind w:left="100" w:firstLine="970"/>
        <w:spacing w:after="0" w:line="255" w:lineRule="auto"/>
        <w:tabs>
          <w:tab w:leader="none" w:pos="1543"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4" w:lineRule="exact"/>
        <w:rPr>
          <w:rFonts w:ascii="Times New Roman" w:cs="Times New Roman" w:eastAsia="Times New Roman" w:hAnsi="Times New Roman"/>
          <w:sz w:val="18"/>
          <w:szCs w:val="18"/>
          <w:b w:val="1"/>
          <w:bCs w:val="1"/>
          <w:color w:val="auto"/>
        </w:rPr>
      </w:pPr>
    </w:p>
    <w:p>
      <w:pPr>
        <w:jc w:val="both"/>
        <w:ind w:left="100" w:firstLine="970"/>
        <w:spacing w:after="0" w:line="253" w:lineRule="auto"/>
        <w:tabs>
          <w:tab w:leader="none" w:pos="1553"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left="100" w:firstLine="970"/>
        <w:spacing w:after="0" w:line="257" w:lineRule="auto"/>
        <w:tabs>
          <w:tab w:leader="none" w:pos="1657"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jc w:val="both"/>
        <w:ind w:left="100" w:firstLine="970"/>
        <w:spacing w:after="0" w:line="259" w:lineRule="auto"/>
        <w:tabs>
          <w:tab w:leader="none" w:pos="1525"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8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6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2"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Parachute Payments.</w:t>
      </w:r>
    </w:p>
    <w:p>
      <w:pPr>
        <w:spacing w:after="0" w:line="229" w:lineRule="exact"/>
        <w:rPr>
          <w:rFonts w:ascii="Times New Roman" w:cs="Times New Roman" w:eastAsia="Times New Roman" w:hAnsi="Times New Roman"/>
          <w:sz w:val="18"/>
          <w:szCs w:val="18"/>
          <w:b w:val="1"/>
          <w:bCs w:val="1"/>
          <w:color w:val="auto"/>
        </w:rPr>
      </w:pPr>
    </w:p>
    <w:p>
      <w:pPr>
        <w:jc w:val="both"/>
        <w:ind w:left="100" w:firstLine="970"/>
        <w:spacing w:after="0" w:line="253" w:lineRule="auto"/>
        <w:tabs>
          <w:tab w:leader="none" w:pos="1476"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an agreement between a Participant and the Company, if any payment or benefit the Participant would receive pursuant to a Change in Control from the Company or otherwise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Participant’s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Awards other than Options; cancellation of accelerated vesting of Options; and reduction of employee benefits. In the event that acceleration of vesting of an Award is to be reduced, such acceleration of vesting shall be cancelled in the reverse order of the date of grant of the Participant’s applicable type of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earliest granted Award cancelled last).</w:t>
      </w:r>
    </w:p>
    <w:p>
      <w:pPr>
        <w:spacing w:after="0" w:line="189" w:lineRule="exact"/>
        <w:rPr>
          <w:rFonts w:ascii="Times New Roman" w:cs="Times New Roman" w:eastAsia="Times New Roman" w:hAnsi="Times New Roman"/>
          <w:sz w:val="18"/>
          <w:szCs w:val="18"/>
          <w:b w:val="1"/>
          <w:bCs w:val="1"/>
          <w:color w:val="auto"/>
        </w:rPr>
      </w:pPr>
    </w:p>
    <w:p>
      <w:pPr>
        <w:jc w:val="both"/>
        <w:ind w:left="100" w:firstLine="970"/>
        <w:spacing w:after="0" w:line="253" w:lineRule="auto"/>
        <w:tabs>
          <w:tab w:leader="none" w:pos="1535"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 The accounting firm engaged to make the determinations hereunder shall provide its calculations, together with detailed supporting documentation, to the Participant and the Company within fifteen (15) calendar days after the date on which the Participant’s right to a Payment is triggered (if requested at that time by the Participant or the Company) or such other time as requested by the Participant or the Company. If the accounting firm determines that no Excise Tax is payable with respect to a Payment, either before or after the application of the Reduced Amount, it shall furnish the Participant and the Company with an opinion that no Excise Tax will be imposed with respect to such Payment. Any good faith determinations of the accounting firm made hereunder shall be final, binding and conclusive upon the Participant and the Company.</w:t>
      </w:r>
    </w:p>
    <w:p>
      <w:pPr>
        <w:spacing w:after="0" w:line="190"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59"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960" w:hanging="404"/>
        <w:spacing w:after="0"/>
        <w:tabs>
          <w:tab w:leader="none" w:pos="9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jc w:val="both"/>
        <w:ind w:firstLine="970"/>
        <w:spacing w:after="0" w:line="258" w:lineRule="auto"/>
        <w:tabs>
          <w:tab w:leader="none" w:pos="1332"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83" w:lineRule="exact"/>
        <w:rPr>
          <w:rFonts w:ascii="Times New Roman" w:cs="Times New Roman" w:eastAsia="Times New Roman" w:hAnsi="Times New Roman"/>
          <w:sz w:val="18"/>
          <w:szCs w:val="18"/>
          <w:b w:val="1"/>
          <w:bCs w:val="1"/>
          <w:color w:val="auto"/>
        </w:rPr>
      </w:pPr>
    </w:p>
    <w:p>
      <w:pPr>
        <w:jc w:val="both"/>
        <w:ind w:firstLine="970"/>
        <w:spacing w:after="0" w:line="266" w:lineRule="auto"/>
        <w:tabs>
          <w:tab w:leader="none" w:pos="1468"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1420" w:hanging="450"/>
        <w:spacing w:after="0"/>
        <w:tabs>
          <w:tab w:leader="none" w:pos="14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firstLine="970"/>
        <w:spacing w:after="0" w:line="282" w:lineRule="auto"/>
        <w:tabs>
          <w:tab w:leader="none" w:pos="1478"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1" w:lineRule="exact"/>
        <w:rPr>
          <w:rFonts w:ascii="Times New Roman" w:cs="Times New Roman" w:eastAsia="Times New Roman" w:hAnsi="Times New Roman"/>
          <w:sz w:val="18"/>
          <w:szCs w:val="18"/>
          <w:b w:val="1"/>
          <w:bCs w:val="1"/>
          <w:color w:val="auto"/>
        </w:rPr>
      </w:pPr>
    </w:p>
    <w:p>
      <w:pPr>
        <w:jc w:val="both"/>
        <w:ind w:firstLine="970"/>
        <w:spacing w:after="0" w:line="261" w:lineRule="auto"/>
        <w:tabs>
          <w:tab w:leader="none" w:pos="137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right="20" w:firstLine="970"/>
        <w:spacing w:after="0" w:line="282" w:lineRule="auto"/>
        <w:tabs>
          <w:tab w:leader="none" w:pos="143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18"/>
          <w:szCs w:val="18"/>
          <w:b w:val="1"/>
          <w:bCs w:val="1"/>
          <w:color w:val="auto"/>
        </w:rPr>
      </w:pPr>
    </w:p>
    <w:p>
      <w:pPr>
        <w:jc w:val="both"/>
        <w:ind w:firstLine="970"/>
        <w:spacing w:after="0" w:line="261" w:lineRule="auto"/>
        <w:tabs>
          <w:tab w:leader="none" w:pos="153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1" w:lineRule="exact"/>
        <w:rPr>
          <w:rFonts w:ascii="Times New Roman" w:cs="Times New Roman" w:eastAsia="Times New Roman" w:hAnsi="Times New Roman"/>
          <w:sz w:val="18"/>
          <w:szCs w:val="18"/>
          <w:b w:val="1"/>
          <w:bCs w:val="1"/>
          <w:color w:val="auto"/>
        </w:rPr>
      </w:pPr>
    </w:p>
    <w:p>
      <w:pPr>
        <w:ind w:left="1500" w:hanging="530"/>
        <w:spacing w:after="0"/>
        <w:tabs>
          <w:tab w:leader="none" w:pos="150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jc w:val="both"/>
        <w:ind w:firstLine="970"/>
        <w:spacing w:after="0" w:line="261" w:lineRule="auto"/>
        <w:tabs>
          <w:tab w:leader="none" w:pos="1424"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18"/>
          <w:szCs w:val="18"/>
          <w:b w:val="1"/>
          <w:bCs w:val="1"/>
          <w:color w:val="auto"/>
        </w:rPr>
      </w:pPr>
    </w:p>
    <w:p>
      <w:pPr>
        <w:ind w:right="20" w:firstLine="970"/>
        <w:spacing w:after="0" w:line="282" w:lineRule="auto"/>
        <w:tabs>
          <w:tab w:leader="none" w:pos="137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firstLine="970"/>
        <w:spacing w:after="0" w:line="261" w:lineRule="auto"/>
        <w:tabs>
          <w:tab w:leader="none" w:pos="1462"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33" w:right="339" w:bottom="1440" w:gutter="0" w:footer="0" w:header="0"/>
        </w:sectPr>
      </w:pPr>
    </w:p>
    <w:bookmarkStart w:id="14" w:name="page15"/>
    <w:bookmarkEnd w:id="14"/>
    <w:p>
      <w:pPr>
        <w:ind w:left="1040" w:hanging="384"/>
        <w:spacing w:after="0"/>
        <w:tabs>
          <w:tab w:leader="none" w:pos="10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jc w:val="both"/>
        <w:ind w:left="100" w:firstLine="970"/>
        <w:spacing w:after="0" w:line="255" w:lineRule="auto"/>
        <w:tabs>
          <w:tab w:leader="none" w:pos="1435"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jc w:val="both"/>
        <w:ind w:left="100" w:firstLine="970"/>
        <w:spacing w:after="0" w:line="262" w:lineRule="auto"/>
        <w:tabs>
          <w:tab w:leader="none" w:pos="1472"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8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Decision. </w:t>
      </w:r>
      <w:r>
        <w:rPr>
          <w:rFonts w:ascii="Times New Roman" w:cs="Times New Roman" w:eastAsia="Times New Roman" w:hAnsi="Times New Roman"/>
          <w:sz w:val="18"/>
          <w:szCs w:val="18"/>
          <w:color w:val="auto"/>
        </w:rPr>
        <w:t>All determinations, interpretations and constructions made by the Board or any Committee in good faith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6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Re-Grant of Awards</w:t>
      </w:r>
      <w:r>
        <w:rPr>
          <w:rFonts w:ascii="Times New Roman" w:cs="Times New Roman" w:eastAsia="Times New Roman" w:hAnsi="Times New Roman"/>
          <w:sz w:val="18"/>
          <w:szCs w:val="18"/>
          <w:color w:val="auto"/>
        </w:rPr>
        <w:t>. Neither the Board nor any Committee will have the authority to: (i) reduce the exercise price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17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51"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inimum Vesting Requirements.</w:t>
      </w:r>
      <w:r>
        <w:rPr>
          <w:rFonts w:ascii="Times New Roman" w:cs="Times New Roman" w:eastAsia="Times New Roman" w:hAnsi="Times New Roman"/>
          <w:sz w:val="18"/>
          <w:szCs w:val="18"/>
          <w:color w:val="auto"/>
        </w:rPr>
        <w:t xml:space="preserve"> No Award may vest (or, if applicable, be exercisable) until at least 12 months following the date of grant of such Award; provided, however, that up to 5% of the Share Reserve (as defined in Section 2(a)) may be subject to Awards that do not meet such vesting (and, if applicable, exercisability) requirements.</w:t>
      </w:r>
    </w:p>
    <w:p>
      <w:pPr>
        <w:spacing w:after="0" w:line="170"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65"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142"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firstLine="656"/>
        <w:spacing w:after="0" w:line="253" w:lineRule="auto"/>
        <w:tabs>
          <w:tab w:leader="none" w:pos="105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61"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6"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19"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02"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8"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48"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68"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ind w:firstLine="656"/>
        <w:spacing w:after="0" w:line="256" w:lineRule="auto"/>
        <w:tabs>
          <w:tab w:leader="none" w:pos="10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5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6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6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6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08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1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2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firstLine="656"/>
        <w:spacing w:after="0" w:line="253" w:lineRule="auto"/>
        <w:tabs>
          <w:tab w:leader="none" w:pos="1075"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51"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170"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6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6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Section shall apply and shall supersede anything to the contrary set forth in the Award Agreement for a Non-Exempt Award.</w:t>
      </w:r>
    </w:p>
    <w:p>
      <w:pPr>
        <w:spacing w:after="0" w:line="154"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075"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158" w:lineRule="exact"/>
        <w:rPr>
          <w:rFonts w:ascii="Times New Roman" w:cs="Times New Roman" w:eastAsia="Times New Roman" w:hAnsi="Times New Roman"/>
          <w:sz w:val="18"/>
          <w:szCs w:val="18"/>
          <w:b w:val="1"/>
          <w:bCs w:val="1"/>
          <w:color w:val="auto"/>
        </w:rPr>
      </w:pPr>
    </w:p>
    <w:p>
      <w:pPr>
        <w:jc w:val="both"/>
        <w:ind w:left="100" w:firstLine="970"/>
        <w:spacing w:after="0" w:line="241" w:lineRule="auto"/>
        <w:tabs>
          <w:tab w:leader="none" w:pos="1513"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75" w:lineRule="exact"/>
        <w:rPr>
          <w:rFonts w:ascii="Times New Roman" w:cs="Times New Roman" w:eastAsia="Times New Roman" w:hAnsi="Times New Roman"/>
          <w:sz w:val="18"/>
          <w:szCs w:val="18"/>
          <w:b w:val="1"/>
          <w:bCs w:val="1"/>
          <w:color w:val="auto"/>
        </w:rPr>
      </w:pPr>
    </w:p>
    <w:p>
      <w:pPr>
        <w:jc w:val="both"/>
        <w:ind w:left="100" w:firstLine="970"/>
        <w:spacing w:after="0" w:line="255" w:lineRule="auto"/>
        <w:tabs>
          <w:tab w:leader="none" w:pos="1545"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w:t>
      </w:r>
    </w:p>
    <w:p>
      <w:pPr>
        <w:spacing w:after="0" w:line="3" w:lineRule="exact"/>
        <w:rPr>
          <w:sz w:val="20"/>
          <w:szCs w:val="20"/>
          <w:color w:val="auto"/>
        </w:rPr>
      </w:pPr>
    </w:p>
    <w:p>
      <w:pPr>
        <w:jc w:val="both"/>
        <w:ind w:left="100"/>
        <w:spacing w:after="0" w:line="227" w:lineRule="auto"/>
        <w:rPr>
          <w:sz w:val="20"/>
          <w:szCs w:val="20"/>
          <w:color w:val="auto"/>
        </w:rPr>
      </w:pPr>
      <w:r>
        <w:rPr>
          <w:rFonts w:ascii="Times New Roman" w:cs="Times New Roman" w:eastAsia="Times New Roman" w:hAnsi="Times New Roman"/>
          <w:sz w:val="18"/>
          <w:szCs w:val="18"/>
          <w:color w:val="auto"/>
        </w:rPr>
        <w:t>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left="100" w:firstLine="970"/>
        <w:spacing w:after="0" w:line="255" w:lineRule="auto"/>
        <w:tabs>
          <w:tab w:leader="none" w:pos="1637"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w:t>
      </w:r>
    </w:p>
    <w:p>
      <w:pPr>
        <w:spacing w:after="0" w:line="31"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1" w:lineRule="exact"/>
        <w:rPr>
          <w:rFonts w:ascii="Times New Roman" w:cs="Times New Roman" w:eastAsia="Times New Roman" w:hAnsi="Times New Roman"/>
          <w:sz w:val="18"/>
          <w:szCs w:val="18"/>
          <w:color w:val="auto"/>
        </w:rPr>
      </w:pPr>
    </w:p>
    <w:p>
      <w:pPr>
        <w:ind w:left="1440" w:hanging="370"/>
        <w:spacing w:after="0"/>
        <w:tabs>
          <w:tab w:leader="none" w:pos="1440" w:val="left"/>
        </w:tabs>
        <w:numPr>
          <w:ilvl w:val="2"/>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206" w:lineRule="exact"/>
        <w:rPr>
          <w:rFonts w:ascii="Times New Roman" w:cs="Times New Roman" w:eastAsia="Times New Roman" w:hAnsi="Times New Roman"/>
          <w:sz w:val="18"/>
          <w:szCs w:val="18"/>
          <w:b w:val="1"/>
          <w:bCs w:val="1"/>
          <w:color w:val="auto"/>
        </w:rPr>
      </w:pPr>
    </w:p>
    <w:p>
      <w:pPr>
        <w:jc w:val="both"/>
        <w:ind w:firstLine="1466"/>
        <w:spacing w:after="0" w:line="258" w:lineRule="auto"/>
        <w:tabs>
          <w:tab w:leader="none" w:pos="1902" w:val="left"/>
        </w:tabs>
        <w:numPr>
          <w:ilvl w:val="3"/>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rFonts w:ascii="Times New Roman" w:cs="Times New Roman" w:eastAsia="Times New Roman" w:hAnsi="Times New Roman"/>
          <w:sz w:val="18"/>
          <w:szCs w:val="18"/>
          <w:b w:val="1"/>
          <w:bCs w:val="1"/>
          <w:color w:val="auto"/>
        </w:rPr>
      </w:pPr>
    </w:p>
    <w:p>
      <w:pPr>
        <w:jc w:val="both"/>
        <w:ind w:firstLine="1466"/>
        <w:spacing w:after="0" w:line="256" w:lineRule="auto"/>
        <w:tabs>
          <w:tab w:leader="none" w:pos="1960" w:val="left"/>
        </w:tabs>
        <w:numPr>
          <w:ilvl w:val="3"/>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3" w:lineRule="exact"/>
        <w:rPr>
          <w:sz w:val="20"/>
          <w:szCs w:val="20"/>
          <w:color w:val="auto"/>
        </w:rPr>
      </w:pPr>
    </w:p>
    <w:p>
      <w:pPr>
        <w:ind w:left="100" w:firstLine="970"/>
        <w:spacing w:after="0" w:line="286" w:lineRule="auto"/>
        <w:tabs>
          <w:tab w:leader="none" w:pos="162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jc w:val="both"/>
        <w:ind w:firstLine="1466"/>
        <w:spacing w:after="0" w:line="255" w:lineRule="auto"/>
        <w:tabs>
          <w:tab w:leader="none" w:pos="1922"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jc w:val="both"/>
        <w:ind w:firstLine="1466"/>
        <w:spacing w:after="0" w:line="254" w:lineRule="auto"/>
        <w:tabs>
          <w:tab w:leader="none" w:pos="1870"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firstLine="1466"/>
        <w:spacing w:after="0" w:line="282" w:lineRule="auto"/>
        <w:tabs>
          <w:tab w:leader="none" w:pos="1939"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4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left="100" w:firstLine="970"/>
        <w:spacing w:after="0" w:line="258" w:lineRule="auto"/>
        <w:tabs>
          <w:tab w:leader="none" w:pos="1426" w:val="left"/>
        </w:tabs>
        <w:numPr>
          <w:ilvl w:val="2"/>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3" w:lineRule="exact"/>
        <w:rPr>
          <w:rFonts w:ascii="Times New Roman" w:cs="Times New Roman" w:eastAsia="Times New Roman" w:hAnsi="Times New Roman"/>
          <w:sz w:val="18"/>
          <w:szCs w:val="18"/>
          <w:b w:val="1"/>
          <w:bCs w:val="1"/>
          <w:color w:val="auto"/>
        </w:rPr>
      </w:pPr>
    </w:p>
    <w:p>
      <w:pPr>
        <w:jc w:val="both"/>
        <w:ind w:left="100" w:firstLine="970"/>
        <w:spacing w:after="0" w:line="255" w:lineRule="auto"/>
        <w:tabs>
          <w:tab w:leader="none" w:pos="1500" w:val="left"/>
        </w:tabs>
        <w:numPr>
          <w:ilvl w:val="2"/>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1055"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61" w:lineRule="exact"/>
        <w:rPr>
          <w:rFonts w:ascii="Times New Roman" w:cs="Times New Roman" w:eastAsia="Times New Roman" w:hAnsi="Times New Roman"/>
          <w:sz w:val="18"/>
          <w:szCs w:val="18"/>
          <w:b w:val="1"/>
          <w:bCs w:val="1"/>
          <w:color w:val="auto"/>
        </w:rPr>
      </w:pPr>
    </w:p>
    <w:p>
      <w:pPr>
        <w:jc w:val="both"/>
        <w:ind w:left="100" w:firstLine="970"/>
        <w:spacing w:after="0" w:line="266" w:lineRule="auto"/>
        <w:tabs>
          <w:tab w:leader="none" w:pos="1472"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5" w:lineRule="exact"/>
        <w:rPr>
          <w:rFonts w:ascii="Times New Roman" w:cs="Times New Roman" w:eastAsia="Times New Roman" w:hAnsi="Times New Roman"/>
          <w:sz w:val="18"/>
          <w:szCs w:val="18"/>
          <w:b w:val="1"/>
          <w:bCs w:val="1"/>
          <w:color w:val="auto"/>
        </w:rPr>
      </w:pPr>
    </w:p>
    <w:p>
      <w:pPr>
        <w:ind w:left="100" w:firstLine="970"/>
        <w:spacing w:after="0" w:line="282" w:lineRule="auto"/>
        <w:tabs>
          <w:tab w:leader="none" w:pos="1496"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1" w:lineRule="exact"/>
        <w:rPr>
          <w:rFonts w:ascii="Times New Roman" w:cs="Times New Roman" w:eastAsia="Times New Roman" w:hAnsi="Times New Roman"/>
          <w:sz w:val="18"/>
          <w:szCs w:val="18"/>
          <w:b w:val="1"/>
          <w:bCs w:val="1"/>
          <w:color w:val="auto"/>
        </w:rPr>
      </w:pPr>
    </w:p>
    <w:p>
      <w:pPr>
        <w:jc w:val="both"/>
        <w:ind w:left="100" w:firstLine="970"/>
        <w:spacing w:after="0" w:line="254" w:lineRule="auto"/>
        <w:tabs>
          <w:tab w:leader="none" w:pos="1546"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91" w:lineRule="exact"/>
        <w:rPr>
          <w:rFonts w:ascii="Times New Roman" w:cs="Times New Roman" w:eastAsia="Times New Roman" w:hAnsi="Times New Roman"/>
          <w:sz w:val="18"/>
          <w:szCs w:val="18"/>
          <w:b w:val="1"/>
          <w:bCs w:val="1"/>
          <w:color w:val="auto"/>
        </w:rPr>
      </w:pPr>
    </w:p>
    <w:p>
      <w:pPr>
        <w:jc w:val="both"/>
        <w:ind w:left="100" w:firstLine="970"/>
        <w:spacing w:after="0" w:line="266" w:lineRule="auto"/>
        <w:tabs>
          <w:tab w:leader="none" w:pos="1578"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1"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Incentive Stock Options may be granted after the tenth anniversary of the earlier of: (i) the Adoption Date, or (ii) the Effective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Awards may be granted under the Plan while the Plan is suspended or after it is terminated.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760" w:hanging="752"/>
        <w:spacing w:after="0"/>
        <w:tabs>
          <w:tab w:leader="none" w:pos="7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sz w:val="20"/>
          <w:szCs w:val="20"/>
          <w:color w:val="auto"/>
        </w:rPr>
      </w:pPr>
    </w:p>
    <w:p>
      <w:pPr>
        <w:ind w:left="1040" w:hanging="384"/>
        <w:spacing w:after="0"/>
        <w:tabs>
          <w:tab w:leader="none" w:pos="10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5"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3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5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3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1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6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9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defining such term and, in the absence of such agreement, such term shall mean, with respect to a Participant, the occurrence of any of the following events: (i) the Participant’s theft, dishonesty, willful misconduct, breach of fiduciary duty for personal profit, or falsification of any Company or Affiliate documents or records; (ii) the Participant’s material failure to abide by the code of conduct or other policies (including, without limitation, policies relating to confidentiality and reasonable workplace conduct) of the Company or an Affiliate; (iii) the Participant’s unauthorized use, misappropriation, destruction or diversion of any tangible or intangible asset or corporate opportunity of a the Company or an Affiliate (including, without limitation, the Participant’s improper use or disclosure of confidential or proprietary information of the Company or an Affiliate); (iv) any intentional act by the Participant which has a material detrimental effect on the reputation or business of the Company or an Affiliate; (v) the Participant’s repeated failure or inability to perform any reasonable assigned duties after written notice from the Company or an Affiliate, and a reasonable opportunity to cure, such failure or inability; (vi) any material breach by the Participant of any employment or service agreement between the Participant and the Company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The determination that a termination of the Participant’s Continuous Service is either for Cause or without Cause will be made by the Board with respect to Participants who are Officers of the Company and by the Company’s chief executive officer with respect to Participants who are not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656"/>
        <w:spacing w:after="0" w:line="268" w:lineRule="auto"/>
        <w:tabs>
          <w:tab w:leader="none" w:pos="103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on or after the Effective Date, in a single transaction or in a series of related transactions, of any one or more of the following events; provided, however, to the extent necessary to avoid adverse personal income tax consequences to the Participant in connection with an Award, such event must also constitute a Section 409A Change in Control:</w:t>
      </w:r>
    </w:p>
    <w:p>
      <w:pPr>
        <w:spacing w:after="0" w:line="174" w:lineRule="exact"/>
        <w:rPr>
          <w:rFonts w:ascii="Times New Roman" w:cs="Times New Roman" w:eastAsia="Times New Roman" w:hAnsi="Times New Roman"/>
          <w:sz w:val="18"/>
          <w:szCs w:val="18"/>
          <w:b w:val="1"/>
          <w:bCs w:val="1"/>
          <w:color w:val="auto"/>
        </w:rPr>
      </w:pPr>
    </w:p>
    <w:p>
      <w:pPr>
        <w:jc w:val="both"/>
        <w:ind w:left="100" w:firstLine="970"/>
        <w:spacing w:after="0" w:line="253" w:lineRule="auto"/>
        <w:tabs>
          <w:tab w:leader="none" w:pos="146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jc w:val="both"/>
        <w:ind w:left="100" w:firstLine="970"/>
        <w:spacing w:after="0" w:line="256" w:lineRule="auto"/>
        <w:tabs>
          <w:tab w:leader="none" w:pos="1515"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left="100" w:firstLine="970"/>
        <w:spacing w:after="0" w:line="282" w:lineRule="auto"/>
        <w:tabs>
          <w:tab w:leader="none" w:pos="1567"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61" w:lineRule="exact"/>
        <w:rPr>
          <w:rFonts w:ascii="Times New Roman" w:cs="Times New Roman" w:eastAsia="Times New Roman" w:hAnsi="Times New Roman"/>
          <w:sz w:val="18"/>
          <w:szCs w:val="18"/>
          <w:b w:val="1"/>
          <w:bCs w:val="1"/>
          <w:color w:val="auto"/>
        </w:rPr>
      </w:pPr>
    </w:p>
    <w:p>
      <w:pPr>
        <w:jc w:val="both"/>
        <w:ind w:left="100" w:firstLine="970"/>
        <w:spacing w:after="0" w:line="258" w:lineRule="auto"/>
        <w:tabs>
          <w:tab w:leader="none" w:pos="157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jc w:val="both"/>
        <w:ind w:left="100" w:firstLine="970"/>
        <w:spacing w:after="0" w:line="262" w:lineRule="auto"/>
        <w:tabs>
          <w:tab w:leader="none" w:pos="1538"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1060" w:hanging="404"/>
        <w:spacing w:after="0"/>
        <w:tabs>
          <w:tab w:leader="none" w:pos="10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1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1060" w:hanging="404"/>
        <w:spacing w:after="0"/>
        <w:tabs>
          <w:tab w:leader="none" w:pos="10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Talphera, Inc., a Delaware corporation.</w:t>
      </w:r>
    </w:p>
    <w:p>
      <w:pPr>
        <w:spacing w:after="0" w:line="225"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08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18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the Company or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3"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06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760" w:hanging="366"/>
        <w:spacing w:after="0"/>
        <w:tabs>
          <w:tab w:leader="none" w:pos="176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b w:val="1"/>
          <w:bCs w:val="1"/>
          <w:color w:val="auto"/>
        </w:rPr>
      </w:pPr>
    </w:p>
    <w:p>
      <w:pPr>
        <w:ind w:left="1800" w:hanging="406"/>
        <w:spacing w:after="0"/>
        <w:tabs>
          <w:tab w:leader="none" w:pos="180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840" w:hanging="446"/>
        <w:spacing w:after="0"/>
        <w:tabs>
          <w:tab w:leader="none" w:pos="18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jc w:val="both"/>
        <w:ind w:left="100" w:firstLine="1294"/>
        <w:spacing w:after="0" w:line="266" w:lineRule="auto"/>
        <w:tabs>
          <w:tab w:leader="none" w:pos="1959"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0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6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annual meeting of stockholders of the Company held in 2020 provided this Plan is approved by the Company’s stockholders at such meeting.</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3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1040" w:hanging="384"/>
        <w:spacing w:after="0"/>
        <w:tabs>
          <w:tab w:leader="none" w:pos="10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25"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56"/>
        <w:spacing w:after="0" w:line="256" w:lineRule="auto"/>
        <w:tabs>
          <w:tab w:leader="none" w:pos="11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1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jc w:val="both"/>
        <w:ind w:left="100" w:firstLine="1132"/>
        <w:spacing w:after="0" w:line="266" w:lineRule="auto"/>
        <w:tabs>
          <w:tab w:leader="none" w:pos="160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left="100" w:firstLine="1132"/>
        <w:spacing w:after="0" w:line="282" w:lineRule="auto"/>
        <w:tabs>
          <w:tab w:leader="none" w:pos="1659"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100" w:right="20" w:firstLine="1132"/>
        <w:spacing w:after="0" w:line="282" w:lineRule="auto"/>
        <w:tabs>
          <w:tab w:leader="none" w:pos="175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107"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6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3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2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firstLine="656"/>
        <w:spacing w:after="0" w:line="257" w:lineRule="auto"/>
        <w:tabs>
          <w:tab w:leader="none" w:pos="116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7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4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08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1240" w:hanging="584"/>
        <w:spacing w:after="0"/>
        <w:tabs>
          <w:tab w:leader="none" w:pos="12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202"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260" w:hanging="604"/>
        <w:spacing w:after="0"/>
        <w:tabs>
          <w:tab w:leader="none" w:pos="12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6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grant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9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6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18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The Other Award Agreement includes the Grant Notice for the Other Award grant and the agreement containing the written summary of the general terms and conditions applicable to the Other Award and which is provided to a Participant along with the Grant Notice. Each Other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0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0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firstLine="656"/>
        <w:spacing w:after="0" w:line="259" w:lineRule="auto"/>
        <w:tabs>
          <w:tab w:leader="none" w:pos="112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1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shall select for purposes of establishing the Performance Goals for a Performance Period. The Performance Criteria that shall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workforce diversity; (xxxi) growth of net income or operating income; (xxxii) billings; (xxxiii) product order and re-order rates; (xxxiv) number of formulary approval of products; (xxxv) cash balance; and (xxxvi) such other measures of performance selected by the Board.</w:t>
      </w:r>
    </w:p>
    <w:p>
      <w:pPr>
        <w:spacing w:after="0" w:line="189"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18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9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2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Talphera, Inc. Amended and Restated 2020 Equity Incentive Plan.</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4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2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5" w:lineRule="exact"/>
        <w:rPr>
          <w:sz w:val="20"/>
          <w:szCs w:val="20"/>
          <w:color w:val="auto"/>
        </w:rPr>
      </w:pPr>
    </w:p>
    <w:p>
      <w:pPr>
        <w:ind w:right="20" w:firstLine="656"/>
        <w:spacing w:after="0" w:line="286" w:lineRule="auto"/>
        <w:tabs>
          <w:tab w:leader="none" w:pos="136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Available Reserve</w:t>
      </w:r>
      <w:r>
        <w:rPr>
          <w:rFonts w:ascii="Times New Roman" w:cs="Times New Roman" w:eastAsia="Times New Roman" w:hAnsi="Times New Roman"/>
          <w:sz w:val="18"/>
          <w:szCs w:val="18"/>
          <w:color w:val="auto"/>
        </w:rPr>
        <w:t>” means the number of shares available for the grant of new awards under the Prior Plan as of immediately prior to the Effective Date.</w:t>
      </w:r>
    </w:p>
    <w:p>
      <w:pPr>
        <w:spacing w:after="0" w:line="154" w:lineRule="exact"/>
        <w:rPr>
          <w:rFonts w:ascii="Times New Roman" w:cs="Times New Roman" w:eastAsia="Times New Roman" w:hAnsi="Times New Roman"/>
          <w:sz w:val="18"/>
          <w:szCs w:val="18"/>
          <w:b w:val="1"/>
          <w:bCs w:val="1"/>
          <w:color w:val="auto"/>
        </w:rPr>
      </w:pPr>
    </w:p>
    <w:p>
      <w:pPr>
        <w:ind w:left="1260" w:hanging="604"/>
        <w:spacing w:after="0"/>
        <w:tabs>
          <w:tab w:leader="none" w:pos="12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Talphera, Inc. 2011 Equity Incentive Plan and the Talphera, Inc. 2006 Stock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1200" w:hanging="544"/>
        <w:spacing w:after="0"/>
        <w:tabs>
          <w:tab w:leader="none" w:pos="120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25"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Section 5(a).</w:t>
      </w:r>
    </w:p>
    <w:p>
      <w:pPr>
        <w:spacing w:after="0" w:line="202" w:lineRule="exact"/>
        <w:rPr>
          <w:rFonts w:ascii="Times New Roman" w:cs="Times New Roman" w:eastAsia="Times New Roman" w:hAnsi="Times New Roman"/>
          <w:sz w:val="18"/>
          <w:szCs w:val="18"/>
          <w:b w:val="1"/>
          <w:bCs w:val="1"/>
          <w:color w:val="auto"/>
        </w:rPr>
      </w:pPr>
    </w:p>
    <w:p>
      <w:pPr>
        <w:jc w:val="both"/>
        <w:ind w:firstLine="656"/>
        <w:spacing w:after="0" w:line="282" w:lineRule="auto"/>
        <w:tabs>
          <w:tab w:leader="none" w:pos="1309" w:val="left"/>
        </w:tabs>
        <w:numPr>
          <w:ilvl w:val="1"/>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61" w:lineRule="exact"/>
        <w:rPr>
          <w:rFonts w:ascii="Times New Roman" w:cs="Times New Roman" w:eastAsia="Times New Roman" w:hAnsi="Times New Roman"/>
          <w:sz w:val="17"/>
          <w:szCs w:val="17"/>
          <w:b w:val="1"/>
          <w:bCs w:val="1"/>
          <w:color w:val="auto"/>
        </w:rPr>
      </w:pPr>
    </w:p>
    <w:p>
      <w:pPr>
        <w:ind w:left="1160" w:hanging="504"/>
        <w:spacing w:after="0"/>
        <w:tabs>
          <w:tab w:leader="none" w:pos="116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w:t>
      </w:r>
    </w:p>
    <w:p>
      <w:pPr>
        <w:spacing w:after="0" w:line="31"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stock award or any portion thereof expires or otherwise terminates without all of the shares covered by such stock award having been issued; (B) are not issued because such stock award or any portion thereof is settled in cash; or (C) are forfeited back to or repurchased by the Company because of the failure to meet a contingency or condition required for the vesting of such shares.</w:t>
      </w:r>
    </w:p>
    <w:p>
      <w:pPr>
        <w:spacing w:after="0" w:line="181" w:lineRule="exact"/>
        <w:rPr>
          <w:rFonts w:ascii="Times New Roman" w:cs="Times New Roman" w:eastAsia="Times New Roman" w:hAnsi="Times New Roman"/>
          <w:sz w:val="18"/>
          <w:szCs w:val="18"/>
          <w:color w:val="auto"/>
        </w:rPr>
      </w:pPr>
    </w:p>
    <w:p>
      <w:pPr>
        <w:ind w:firstLine="656"/>
        <w:spacing w:after="0" w:line="286" w:lineRule="auto"/>
        <w:tabs>
          <w:tab w:leader="none" w:pos="1285"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15"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260" w:hanging="604"/>
        <w:spacing w:after="0"/>
        <w:tabs>
          <w:tab w:leader="none" w:pos="126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0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400" w:hanging="744"/>
        <w:spacing w:after="0"/>
        <w:tabs>
          <w:tab w:leader="none" w:pos="140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regulations and other guidance promulgated thereunder.</w:t>
      </w:r>
    </w:p>
    <w:p>
      <w:pPr>
        <w:spacing w:after="0" w:line="225" w:lineRule="exact"/>
        <w:rPr>
          <w:rFonts w:ascii="Times New Roman" w:cs="Times New Roman" w:eastAsia="Times New Roman" w:hAnsi="Times New Roman"/>
          <w:sz w:val="18"/>
          <w:szCs w:val="18"/>
          <w:b w:val="1"/>
          <w:bCs w:val="1"/>
          <w:color w:val="auto"/>
        </w:rPr>
      </w:pPr>
    </w:p>
    <w:p>
      <w:pPr>
        <w:ind w:left="1260" w:hanging="604"/>
        <w:spacing w:after="0"/>
        <w:tabs>
          <w:tab w:leader="none" w:pos="126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58"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0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88"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41"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left="-20" w:firstLine="656"/>
        <w:spacing w:after="0" w:line="286" w:lineRule="auto"/>
        <w:tabs>
          <w:tab w:leader="none" w:pos="113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left="-20" w:firstLine="656"/>
        <w:spacing w:after="0" w:line="286" w:lineRule="auto"/>
        <w:tabs>
          <w:tab w:leader="none" w:pos="116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20" w:right="20" w:firstLine="656"/>
        <w:spacing w:after="0" w:line="263" w:lineRule="auto"/>
        <w:tabs>
          <w:tab w:leader="none" w:pos="124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AMENDED AND RESTATED 2011 EMPLOYEE STOCK PURCHASE PLAN</w:t>
      </w:r>
    </w:p>
    <w:p>
      <w:pPr>
        <w:spacing w:after="0" w:line="2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anuary</w:t>
      </w:r>
      <w:r>
        <w:rPr>
          <w:rFonts w:ascii="Times New Roman" w:cs="Times New Roman" w:eastAsia="Times New Roman" w:hAnsi="Times New Roman"/>
          <w:sz w:val="18"/>
          <w:szCs w:val="18"/>
          <w:b w:val="1"/>
          <w:bCs w:val="1"/>
          <w:color w:val="auto"/>
        </w:rPr>
        <w:t xml:space="preserve"> 5, 2011</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anuary</w:t>
      </w:r>
      <w:r>
        <w:rPr>
          <w:rFonts w:ascii="Times New Roman" w:cs="Times New Roman" w:eastAsia="Times New Roman" w:hAnsi="Times New Roman"/>
          <w:sz w:val="18"/>
          <w:szCs w:val="18"/>
          <w:b w:val="1"/>
          <w:bCs w:val="1"/>
          <w:color w:val="auto"/>
        </w:rPr>
        <w:t xml:space="preserve"> 19, 2011</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16, 2020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16, 2020</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19, 2024</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24, 2024</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ugust</w:t>
      </w:r>
      <w:r>
        <w:rPr>
          <w:rFonts w:ascii="Times New Roman" w:cs="Times New Roman" w:eastAsia="Times New Roman" w:hAnsi="Times New Roman"/>
          <w:sz w:val="18"/>
          <w:szCs w:val="18"/>
          <w:b w:val="1"/>
          <w:bCs w:val="1"/>
          <w:color w:val="auto"/>
        </w:rPr>
        <w:t xml:space="preserve"> 28, 2025</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ctober</w:t>
      </w:r>
      <w:r>
        <w:rPr>
          <w:rFonts w:ascii="Times New Roman" w:cs="Times New Roman" w:eastAsia="Times New Roman" w:hAnsi="Times New Roman"/>
          <w:sz w:val="18"/>
          <w:szCs w:val="18"/>
          <w:b w:val="1"/>
          <w:bCs w:val="1"/>
          <w:color w:val="auto"/>
        </w:rPr>
        <w:t xml:space="preserve"> 23, 2025</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pril</w:t>
      </w:r>
      <w:r>
        <w:rPr>
          <w:rFonts w:ascii="Times New Roman" w:cs="Times New Roman" w:eastAsia="Times New Roman" w:hAnsi="Times New Roman"/>
          <w:sz w:val="18"/>
          <w:szCs w:val="18"/>
          <w:b w:val="1"/>
          <w:bCs w:val="1"/>
          <w:color w:val="auto"/>
        </w:rPr>
        <w:t xml:space="preserve"> 23, 2026</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83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Common Stock Subject to the Plan.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of Purchase Rights; Offering.</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Eligibility.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Rights; Purchase Price.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Participation; Withdrawal; Termination.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Purchase Rights.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Covenants of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Designation of Beneficiary.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Upon Changes in Common Stock; Corporate Transactions.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Amendment, Termination or Suspension of the Plan.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Date of Plan.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832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i</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83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0" w:name="page31"/>
    <w:bookmarkEnd w:id="30"/>
    <w:p>
      <w:pPr>
        <w:ind w:left="760" w:hanging="752"/>
        <w:spacing w:after="0"/>
        <w:tabs>
          <w:tab w:leader="none" w:pos="7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82"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purpose of the Plan is to provide a means by which Eligible Employees of the Company and certain designated Related Corporations may be given an opportunity to purchase shares of Common Stock. The Plan is intended to permit the Company to grant a series of Purchase Rights to Eligible Employees under an Employee Stock Purchase Plan.</w:t>
      </w:r>
    </w:p>
    <w:p>
      <w:pPr>
        <w:spacing w:after="0" w:line="17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56"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123"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administer the Plan unless and until the Board delegates administration of the Plan to a Committee or Committees, as provided in Section 2(c).</w:t>
      </w:r>
    </w:p>
    <w:p>
      <w:pPr>
        <w:spacing w:after="0" w:line="161"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have the power, subject to, and within the limitations of, the express provisions of the Plan:</w:t>
      </w:r>
    </w:p>
    <w:p>
      <w:pPr>
        <w:spacing w:after="0" w:line="225" w:lineRule="exact"/>
        <w:rPr>
          <w:rFonts w:ascii="Times New Roman" w:cs="Times New Roman" w:eastAsia="Times New Roman" w:hAnsi="Times New Roman"/>
          <w:sz w:val="18"/>
          <w:szCs w:val="18"/>
          <w:b w:val="1"/>
          <w:bCs w:val="1"/>
          <w:color w:val="auto"/>
        </w:rPr>
      </w:pPr>
    </w:p>
    <w:p>
      <w:pPr>
        <w:ind w:firstLine="1142"/>
        <w:spacing w:after="0" w:line="282" w:lineRule="auto"/>
        <w:tabs>
          <w:tab w:leader="none" w:pos="1588"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to purchase shares of Common Stock shall be granted and the provisions of each Offering of such Purchase Rights (which need not be identical).</w:t>
      </w:r>
    </w:p>
    <w:p>
      <w:pPr>
        <w:spacing w:after="0" w:line="161" w:lineRule="exact"/>
        <w:rPr>
          <w:rFonts w:ascii="Times New Roman" w:cs="Times New Roman" w:eastAsia="Times New Roman" w:hAnsi="Times New Roman"/>
          <w:sz w:val="18"/>
          <w:szCs w:val="18"/>
          <w:b w:val="1"/>
          <w:bCs w:val="1"/>
          <w:color w:val="auto"/>
        </w:rPr>
      </w:pPr>
    </w:p>
    <w:p>
      <w:pPr>
        <w:ind w:left="1540" w:hanging="398"/>
        <w:spacing w:after="0"/>
        <w:tabs>
          <w:tab w:leader="none" w:pos="1540"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which Related Corporations of the Company shall be eligible to participate in the Plan.</w:t>
      </w:r>
    </w:p>
    <w:p>
      <w:pPr>
        <w:spacing w:after="0" w:line="225" w:lineRule="exact"/>
        <w:rPr>
          <w:rFonts w:ascii="Times New Roman" w:cs="Times New Roman" w:eastAsia="Times New Roman" w:hAnsi="Times New Roman"/>
          <w:sz w:val="18"/>
          <w:szCs w:val="18"/>
          <w:b w:val="1"/>
          <w:bCs w:val="1"/>
          <w:color w:val="auto"/>
        </w:rPr>
      </w:pPr>
    </w:p>
    <w:p>
      <w:pPr>
        <w:jc w:val="both"/>
        <w:ind w:firstLine="1142"/>
        <w:spacing w:after="0" w:line="266" w:lineRule="auto"/>
        <w:tabs>
          <w:tab w:leader="none" w:pos="1766"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shall deem necessary or expedient to make the Plan fully effective.</w:t>
      </w:r>
    </w:p>
    <w:p>
      <w:pPr>
        <w:spacing w:after="0" w:line="175" w:lineRule="exact"/>
        <w:rPr>
          <w:rFonts w:ascii="Times New Roman" w:cs="Times New Roman" w:eastAsia="Times New Roman" w:hAnsi="Times New Roman"/>
          <w:sz w:val="18"/>
          <w:szCs w:val="18"/>
          <w:b w:val="1"/>
          <w:bCs w:val="1"/>
          <w:color w:val="auto"/>
        </w:rPr>
      </w:pPr>
    </w:p>
    <w:p>
      <w:pPr>
        <w:ind w:left="1580" w:hanging="438"/>
        <w:spacing w:after="0"/>
        <w:tabs>
          <w:tab w:leader="none" w:pos="1580"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it.</w:t>
      </w:r>
    </w:p>
    <w:p>
      <w:pPr>
        <w:spacing w:after="0" w:line="225" w:lineRule="exact"/>
        <w:rPr>
          <w:rFonts w:ascii="Times New Roman" w:cs="Times New Roman" w:eastAsia="Times New Roman" w:hAnsi="Times New Roman"/>
          <w:sz w:val="18"/>
          <w:szCs w:val="18"/>
          <w:b w:val="1"/>
          <w:bCs w:val="1"/>
          <w:color w:val="auto"/>
        </w:rPr>
      </w:pPr>
    </w:p>
    <w:p>
      <w:pPr>
        <w:ind w:left="1520" w:hanging="378"/>
        <w:spacing w:after="0"/>
        <w:tabs>
          <w:tab w:leader="none" w:pos="1520"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left="1580" w:hanging="438"/>
        <w:spacing w:after="0"/>
        <w:tabs>
          <w:tab w:leader="none" w:pos="1580"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12.</w:t>
      </w:r>
    </w:p>
    <w:p>
      <w:pPr>
        <w:spacing w:after="0" w:line="225" w:lineRule="exact"/>
        <w:rPr>
          <w:rFonts w:ascii="Times New Roman" w:cs="Times New Roman" w:eastAsia="Times New Roman" w:hAnsi="Times New Roman"/>
          <w:sz w:val="18"/>
          <w:szCs w:val="18"/>
          <w:b w:val="1"/>
          <w:bCs w:val="1"/>
          <w:color w:val="auto"/>
        </w:rPr>
      </w:pPr>
    </w:p>
    <w:p>
      <w:pPr>
        <w:ind w:firstLine="1142"/>
        <w:spacing w:after="0" w:line="282" w:lineRule="auto"/>
        <w:tabs>
          <w:tab w:leader="none" w:pos="1659"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61" w:lineRule="exact"/>
        <w:rPr>
          <w:rFonts w:ascii="Times New Roman" w:cs="Times New Roman" w:eastAsia="Times New Roman" w:hAnsi="Times New Roman"/>
          <w:sz w:val="18"/>
          <w:szCs w:val="18"/>
          <w:b w:val="1"/>
          <w:bCs w:val="1"/>
          <w:color w:val="auto"/>
        </w:rPr>
      </w:pPr>
    </w:p>
    <w:p>
      <w:pPr>
        <w:ind w:firstLine="1142"/>
        <w:spacing w:after="0" w:line="282" w:lineRule="auto"/>
        <w:tabs>
          <w:tab w:leader="none" w:pos="1713" w:val="left"/>
        </w:tabs>
        <w:numPr>
          <w:ilvl w:val="3"/>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w:t>
      </w:r>
    </w:p>
    <w:p>
      <w:pPr>
        <w:spacing w:after="0" w:line="161" w:lineRule="exact"/>
        <w:rPr>
          <w:rFonts w:ascii="Times New Roman" w:cs="Times New Roman" w:eastAsia="Times New Roman" w:hAnsi="Times New Roman"/>
          <w:sz w:val="18"/>
          <w:szCs w:val="18"/>
          <w:b w:val="1"/>
          <w:bCs w:val="1"/>
          <w:color w:val="auto"/>
        </w:rPr>
      </w:pPr>
    </w:p>
    <w:p>
      <w:pPr>
        <w:jc w:val="both"/>
        <w:ind w:firstLine="170"/>
        <w:spacing w:after="0" w:line="255" w:lineRule="auto"/>
        <w:tabs>
          <w:tab w:leader="none" w:pos="54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shall have the final power to determine all questions of policy and expediency that may arise in the administration of the Plan.</w:t>
      </w:r>
    </w:p>
    <w:p>
      <w:pPr>
        <w:spacing w:after="0" w:line="188"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1059" w:val="left"/>
        </w:tabs>
        <w:numPr>
          <w:ilvl w:val="2"/>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shall not be subject to review by any person and shall be final, binding and conclusive on all persons.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760" w:hanging="752"/>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5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Section 11(a) relating to Capitalization Adjustments, the initial number of shares of Common Stock that may be sold pursuant to Purchase Rights is not to exceed in the aggregate 545,000 shares of Common Stock.</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6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shall for any reason terminate without having been exercised, the shares of Common Stock not purchased under such Purchase Right shall again become available for issuance under the Plan.</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4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shall be shares of authorized but unissued or reacquired Common Stock, including shares repurchased by the Company on the open market.</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ffering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6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purchase shares of Common Stock under the Plan to Eligible Employees in an Offering (consisting of one or more Purchase Periods) on an Offering Date or Offering Dates selected by the Board. Each Offering shall be in such form and shall contain such terms and conditions as the Board shall deem appropriate, which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5 through 8, inclusive.</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7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agreements or notices delivered hereunder: (i) each agreement or notice delivered 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4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have the discretion to structure an Offering so that if the Fair Market Value of the shares of Common Stock on the first day of a new Purchase Period within that Offering is less than or equal to the Fair Market Value of the shares of Common Stock on the Offering Date, then (i) that Offering shall terminate immediately, and (ii) the Participants in such terminated Offering shall be automatically enrolled in a new Offering beginning on the first day of such new Purchase Period.</w:t>
      </w:r>
    </w:p>
    <w:p>
      <w:pPr>
        <w:spacing w:after="0" w:line="175"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6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as provided in Section 2(b), to Employees of a Related Corporation. Except as provided in Section 5(b), an Employee shall not be eligible to be granted Purchase Rights under the Plan unless, on the Offering Date, such Employee has been in the employ of the Company or the Related Corporation,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is more than twenty (20) hours per week and more than five (5) months per calendar year or such other criteria as the Board may determine consistent with Section 423 of the Code.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5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spacing w:after="0" w:line="179"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698"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shall be the “Offering Date” of such Purchase Right for all purposes, including determination of the exercise price of such Purchase Right;</w:t>
      </w:r>
    </w:p>
    <w:p>
      <w:pPr>
        <w:spacing w:after="0" w:line="161" w:lineRule="exact"/>
        <w:rPr>
          <w:rFonts w:ascii="Times New Roman" w:cs="Times New Roman" w:eastAsia="Times New Roman" w:hAnsi="Times New Roman"/>
          <w:sz w:val="18"/>
          <w:szCs w:val="18"/>
          <w:b w:val="1"/>
          <w:bCs w:val="1"/>
          <w:color w:val="auto"/>
        </w:rPr>
      </w:pPr>
    </w:p>
    <w:p>
      <w:pPr>
        <w:ind w:left="1740" w:hanging="436"/>
        <w:spacing w:after="0"/>
        <w:tabs>
          <w:tab w:leader="none" w:pos="1740"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shall begin on its Offering Date and end coincident with the end of</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Offering; and</w:t>
      </w:r>
    </w:p>
    <w:p>
      <w:pPr>
        <w:spacing w:after="0" w:line="206"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775"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shall not receive any Purchase Right under that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ind w:firstLine="656"/>
        <w:spacing w:after="0" w:line="258" w:lineRule="auto"/>
        <w:tabs>
          <w:tab w:leader="none" w:pos="1123"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shall be eligible for the grant of any Purchase Rights under the Plan if, immediately after any such Purchase Rights are granted, such Employee owns stock possessing five percent (5%) or more of the total combined voting power or value of all classes of stock of the Company or of any Related Corporation. For purposes of this Section 5(c), the rules of Section 424(d) of the Code shall apply in determining the stock ownership of any Employee, and stock which such Employee may purchase under all outstanding Purchase Rights and options shall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65"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twenty five thousand dollars ($25,000) of Fair Market Value of such stock (determined at the time such rights are granted, and which, with respect to the Plan, shall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3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spacing w:after="0" w:line="171"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5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shall be granted a Purchase Right to purchase up to that number of shares of Common Stock purchasable either with a percentage or with a maximum dollar amount, as designated by the Board, but in either case not exceeding fifteen percent (15%)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1067"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establish one (1) or more Purchase Dates during an Offering as of which Purchase Rights granted pursuant to that Offering shall be exercised and purchases of shares of Common Stock shall be carried out in accordance with such Offering.</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49"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a maximum number of shares of Common Stock that may be purchased by any Participant on any Purchase Date during such Offering. In connection with each Offering made under the Plan, the Board may specify a maximum aggregate number of shares of Common Stock that may be purchased by all Participants pursuant to such Offering. In addition, in connection with each Offering that contains more than one Purchase Date, the Board may specify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earnings contributions) allocation of the shares of Common Stock available shall be made in as nearly a uniform manner as shall be practicable and equitable.</w:t>
      </w:r>
    </w:p>
    <w:p>
      <w:pPr>
        <w:spacing w:after="0" w:line="191"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shall be not less than the lesser of:</w:t>
      </w:r>
    </w:p>
    <w:p>
      <w:pPr>
        <w:spacing w:after="0" w:line="225" w:lineRule="exact"/>
        <w:rPr>
          <w:rFonts w:ascii="Times New Roman" w:cs="Times New Roman" w:eastAsia="Times New Roman" w:hAnsi="Times New Roman"/>
          <w:sz w:val="18"/>
          <w:szCs w:val="18"/>
          <w:b w:val="1"/>
          <w:bCs w:val="1"/>
          <w:color w:val="auto"/>
        </w:rPr>
      </w:pPr>
    </w:p>
    <w:p>
      <w:pPr>
        <w:ind w:left="1500" w:hanging="358"/>
        <w:spacing w:after="0"/>
        <w:tabs>
          <w:tab w:leader="none" w:pos="1500"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eighty-five percent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600" w:hanging="458"/>
        <w:spacing w:after="0"/>
        <w:tabs>
          <w:tab w:leader="none" w:pos="1600"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eighty-five percent (85%) of the Fair Market Value of the shares of Common Stock on the applicable Purchase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02"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Eligible Employee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be credited to a bookkeeping account for such Participant under the Plan and shall be deposited with the general funds of the Company except where applicable law requires that Contributions be deposited with a third party. To the extent provided in the Offering, a Participant may begin such Contributions with the first payroll occurring on or after the beginning of the Offering. To the extent provided in the Offering, a Participant may thereafter reduce (including to zero) or increase his or her Contributions. To the extent specifically provided in the Offering, in addition to making Contributions by payroll deductions, a Participant may make Contributions through the payment by cash or check prior to each Purchase Date of the Offering.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56"/>
        <w:spacing w:after="0" w:line="255" w:lineRule="auto"/>
        <w:tabs>
          <w:tab w:leader="none" w:pos="105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shares of Common Stock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5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granted pursuant to any Offering under the Plan shall terminate immediately upon a Participant ceasing to be an Employee for any reason or for no reason (subject to any post-employment participation period required by law) or other lack of eligibility. The Company shall distribute to such terminated or otherwise ineligible Employee all of his or her accumulated Contributions (reduced to the extent, if any, such Contributions have been used to acquire shares of Common Stock for the terminated or otherwise ineligible Employee) under the Offering.</w:t>
      </w:r>
    </w:p>
    <w:p>
      <w:pPr>
        <w:spacing w:after="0" w:line="17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105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shall not be transferable by a Participant except by will, the laws of descent and distribution, or by a beneficiary designation as provided in Section 10. During a Participant’s lifetime, Purchase Rights shall be exercisable only by such Participant.</w:t>
      </w:r>
    </w:p>
    <w:p>
      <w:pPr>
        <w:spacing w:after="0" w:line="161"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an Offering, the Company shall have no obligation to pay interest on Contributions.</w:t>
      </w:r>
    </w:p>
    <w:p>
      <w:pPr>
        <w:spacing w:after="0" w:line="221"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13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during an Offering, each Participant’s accumulated Contributions shall be applied to the purchase of shares of Common Stock up to the maximum number of shares of Common Stock permitted pursuant to the terms of the Plan and the applicable Offering, at the purchase price specified in the Offering. No fractional shares shall be issued upon the exercise of Purchase Rights unless specifically provided for in the Offering.</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108"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amount of accumulated Contributions remains in a Participant’s account after the purchase of shares of Common Stock, then such remaining amount shall be distributed in full to such Participant at the end of the Offering without interest.</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during any Offering hereunder the shares of Common Stock are not so registered or the Plan is not in such compliance, no Purchase Rights or any Offering shall be exercised on such Purchase Date, and the Purchase Date shall be delayed until the shares of Common Stock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shares of Common Stock are not registered and the Plan is not in such compliance, no Purchase Rights shall be exercised and all Contributions accumulated during the Offering (reduced to the extent, if any, such Contributions have been used to acquire shares of Common Stock) shall be distributed to the Participants without interest.</w:t>
      </w:r>
    </w:p>
    <w:p>
      <w:pPr>
        <w:spacing w:after="0" w:line="18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shall seek to obtain from each federal, state, foreign or other regulatory commission or agency having jurisdiction over the Plan such authority as may be required to issue and sell shares of Common Stock upon exercise of the Purchase Rights. If, after commercially reasonable efforts, the Company is unable to obtain from any such regulatory commission or agency the authority that counsel for the Company deems necessary for the lawful issuance and sale of Common Stock under the Plan, and at a commercially reasonable cost, the Company shall be relieved from any liability for failure to issue and sell Common Stock upon exercise of such Purchase Rights unless and until such authority is obtained.</w:t>
      </w:r>
    </w:p>
    <w:p>
      <w:pPr>
        <w:spacing w:after="0" w:line="179"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eneficiary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82"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file a written designation of a beneficiary who is to receive any shares of Common Stock and/or cash, if any, from the Participant’s account under the Plan in the event of such Participant’s death subsequent to the end of an Offering but prior to delivery to the Participant of such shares of Common Stock or cash. In addition, a 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56"/>
        <w:spacing w:after="0" w:line="256" w:lineRule="auto"/>
        <w:tabs>
          <w:tab w:leader="none" w:pos="1104"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sole discretion, may deliver such shares of Common Stock and/or cash to the spouse or to any one or more dependents or relatives of the Participant, or if no spouse, dependent or relative is known to the Company, then to such other person as the Company may designate.</w:t>
      </w:r>
    </w:p>
    <w:p>
      <w:pPr>
        <w:spacing w:after="0" w:line="183"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05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shall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shall make such adjustments, and its determination shall be final, binding and conclusive.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9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Purchase Rights outstanding under the Plan or may substitute similar rights (including a right to acquire the same consideration paid to the stockholders in the Corporate Transaction) for those outstanding under the Plan; or (ii) if any surviving or acquiring corporation (or its parent company) does not assume or continue such Purchase Rights or does not substitute similar rights for Purchase Rights outstanding under the Plan, then the Participants’ accumulated Contributions shall be used to purchase shares of Common Stock within ten (10) business days prior to the Corporate Transaction under any ongoing Offerings, and the Participants’ Purchase Rights under the ongoing Offerings shall terminate immediately after such purchase.</w:t>
      </w:r>
    </w:p>
    <w:p>
      <w:pPr>
        <w:spacing w:after="0" w:line="184"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58"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 Section 11(a) relating to Capitalization Adjustments, stockholder approval shall be required for any amendment of the Plan for which stockholder approval is required by applicable law or listing requirements, including any amendment that either (i) materially increases the number of shares of Common Stock available for issuance under the Plan, (ii) materially expands the class of individuals eligible to become Participants and receive Purchase Rights under the Plan, (iii) materially increases the benefits accruing to Participants under the Plan or materially reduces the price at which shares of Common Stock may be purchased under the Plan, (iv) materially extends the term of the Plan, or (v) expands the types of awards available for issuance under the Plan, but in each of (i) through (v) above only to the extent stockholder approval is required by applicable law or listing requirements.</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6"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shall not be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 (iii) as necessary to obtain or maintain favorable tax, listing, or regulatory treatment.</w:t>
      </w:r>
    </w:p>
    <w:p>
      <w:pPr>
        <w:spacing w:after="0" w:line="183"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Plan shall become effective on the IPO Date, but no Purchase Rights shall be exercised unless and until the Plan has been approved by the stockholders of the Company, which approval shall be within twelve (12) months before or after the date the Plan is adopted by the Board.</w:t>
      </w:r>
    </w:p>
    <w:p>
      <w:pPr>
        <w:spacing w:after="0" w:line="158"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shall constitute general funds of the Company.</w:t>
      </w:r>
    </w:p>
    <w:p>
      <w:pPr>
        <w:spacing w:after="0" w:line="225" w:lineRule="exact"/>
        <w:rPr>
          <w:rFonts w:ascii="Times New Roman" w:cs="Times New Roman" w:eastAsia="Times New Roman" w:hAnsi="Times New Roman"/>
          <w:sz w:val="18"/>
          <w:szCs w:val="18"/>
          <w:b w:val="1"/>
          <w:bCs w:val="1"/>
          <w:color w:val="auto"/>
        </w:rPr>
      </w:pPr>
    </w:p>
    <w:p>
      <w:pPr>
        <w:ind w:left="5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left="-8" w:firstLine="656"/>
        <w:spacing w:after="0" w:line="266" w:lineRule="auto"/>
        <w:tabs>
          <w:tab w:leader="none" w:pos="109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shall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5" w:lineRule="exact"/>
        <w:rPr>
          <w:rFonts w:ascii="Times New Roman" w:cs="Times New Roman" w:eastAsia="Times New Roman" w:hAnsi="Times New Roman"/>
          <w:sz w:val="18"/>
          <w:szCs w:val="18"/>
          <w:b w:val="1"/>
          <w:bCs w:val="1"/>
          <w:color w:val="auto"/>
        </w:rPr>
      </w:pPr>
    </w:p>
    <w:p>
      <w:pPr>
        <w:jc w:val="both"/>
        <w:ind w:left="-8" w:firstLine="656"/>
        <w:spacing w:after="0" w:line="266" w:lineRule="auto"/>
        <w:tabs>
          <w:tab w:leader="none" w:pos="107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shall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75" w:lineRule="exact"/>
        <w:rPr>
          <w:rFonts w:ascii="Times New Roman" w:cs="Times New Roman" w:eastAsia="Times New Roman" w:hAnsi="Times New Roman"/>
          <w:sz w:val="18"/>
          <w:szCs w:val="18"/>
          <w:b w:val="1"/>
          <w:bCs w:val="1"/>
          <w:color w:val="auto"/>
        </w:rPr>
      </w:pPr>
    </w:p>
    <w:p>
      <w:pPr>
        <w:ind w:left="1052" w:hanging="404"/>
        <w:spacing w:after="0"/>
        <w:tabs>
          <w:tab w:leader="none" w:pos="105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shall be governed by the laws of the State of California without resort to that state’s conflicts of laws rules.</w:t>
      </w:r>
    </w:p>
    <w:p>
      <w:pPr>
        <w:spacing w:after="0" w:line="221" w:lineRule="exact"/>
        <w:rPr>
          <w:sz w:val="20"/>
          <w:szCs w:val="20"/>
          <w:color w:val="auto"/>
        </w:rPr>
      </w:pPr>
    </w:p>
    <w:p>
      <w:pPr>
        <w:ind w:left="752" w:hanging="752"/>
        <w:spacing w:after="0"/>
        <w:tabs>
          <w:tab w:leader="none" w:pos="7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 used in the Plan, the following definitions shall apply to the capitalized terms indicated below:</w:t>
      </w:r>
    </w:p>
    <w:p>
      <w:pPr>
        <w:spacing w:after="0" w:line="221" w:lineRule="exact"/>
        <w:rPr>
          <w:sz w:val="20"/>
          <w:szCs w:val="20"/>
          <w:color w:val="auto"/>
        </w:rPr>
      </w:pPr>
    </w:p>
    <w:p>
      <w:pPr>
        <w:ind w:left="1032" w:hanging="384"/>
        <w:spacing w:after="0"/>
        <w:tabs>
          <w:tab w:leader="none" w:pos="103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jc w:val="both"/>
        <w:ind w:left="-8" w:firstLine="656"/>
        <w:spacing w:after="0" w:line="259" w:lineRule="auto"/>
        <w:tabs>
          <w:tab w:leader="none" w:pos="105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similar transaction). Notwithstanding the foregoing, the conversion of any convertible securities of the Company shall not be treated as a Capitalization Adjustment.</w:t>
      </w:r>
    </w:p>
    <w:p>
      <w:pPr>
        <w:spacing w:after="0" w:line="179" w:lineRule="exact"/>
        <w:rPr>
          <w:rFonts w:ascii="Times New Roman" w:cs="Times New Roman" w:eastAsia="Times New Roman" w:hAnsi="Times New Roman"/>
          <w:sz w:val="18"/>
          <w:szCs w:val="18"/>
          <w:b w:val="1"/>
          <w:bCs w:val="1"/>
          <w:color w:val="auto"/>
        </w:rPr>
      </w:pPr>
    </w:p>
    <w:p>
      <w:pPr>
        <w:ind w:left="1032" w:hanging="384"/>
        <w:spacing w:after="0"/>
        <w:tabs>
          <w:tab w:leader="none" w:pos="103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b w:val="1"/>
          <w:bCs w:val="1"/>
          <w:color w:val="auto"/>
        </w:rPr>
      </w:pPr>
    </w:p>
    <w:p>
      <w:pPr>
        <w:ind w:left="-8" w:firstLine="656"/>
        <w:spacing w:after="0" w:line="286" w:lineRule="auto"/>
        <w:tabs>
          <w:tab w:leader="none" w:pos="116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(1) or more members of the Board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1032" w:hanging="384"/>
        <w:spacing w:after="0"/>
        <w:tabs>
          <w:tab w:leader="none" w:pos="103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012" w:hanging="364"/>
        <w:spacing w:after="0"/>
        <w:tabs>
          <w:tab w:leader="none" w:pos="101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Talphera, Inc., a Delaware corporation.</w:t>
      </w:r>
    </w:p>
    <w:p>
      <w:pPr>
        <w:spacing w:after="0" w:line="225" w:lineRule="exact"/>
        <w:rPr>
          <w:rFonts w:ascii="Times New Roman" w:cs="Times New Roman" w:eastAsia="Times New Roman" w:hAnsi="Times New Roman"/>
          <w:sz w:val="18"/>
          <w:szCs w:val="18"/>
          <w:b w:val="1"/>
          <w:bCs w:val="1"/>
          <w:color w:val="auto"/>
        </w:rPr>
      </w:pPr>
    </w:p>
    <w:p>
      <w:pPr>
        <w:jc w:val="both"/>
        <w:ind w:left="-8" w:right="20" w:firstLine="656"/>
        <w:spacing w:after="0" w:line="268" w:lineRule="auto"/>
        <w:tabs>
          <w:tab w:leader="none" w:pos="109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70" w:lineRule="exact"/>
        <w:rPr>
          <w:rFonts w:ascii="Times New Roman" w:cs="Times New Roman" w:eastAsia="Times New Roman" w:hAnsi="Times New Roman"/>
          <w:sz w:val="18"/>
          <w:szCs w:val="18"/>
          <w:b w:val="1"/>
          <w:bCs w:val="1"/>
          <w:color w:val="auto"/>
        </w:rPr>
      </w:pPr>
    </w:p>
    <w:p>
      <w:pPr>
        <w:ind w:left="-8" w:firstLine="656"/>
        <w:spacing w:after="0" w:line="286" w:lineRule="auto"/>
        <w:tabs>
          <w:tab w:leader="none" w:pos="112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8" w:firstLine="1142"/>
        <w:spacing w:after="0" w:line="282" w:lineRule="auto"/>
        <w:tabs>
          <w:tab w:leader="none" w:pos="1546"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532" w:hanging="398"/>
        <w:spacing w:after="0"/>
        <w:tabs>
          <w:tab w:leader="none" w:pos="153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sale or other disposition of at least ninety percent (90%)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592" w:hanging="458"/>
        <w:spacing w:after="0"/>
        <w:tabs>
          <w:tab w:leader="none" w:pos="159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jc w:val="both"/>
        <w:ind w:left="-8" w:firstLine="1142"/>
        <w:spacing w:after="0" w:line="266" w:lineRule="auto"/>
        <w:tabs>
          <w:tab w:leader="none" w:pos="1571"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992" w:hanging="344"/>
        <w:spacing w:after="0"/>
        <w:tabs>
          <w:tab w:leader="none" w:pos="99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36" w:name="page37"/>
    <w:bookmarkEnd w:id="36"/>
    <w:p>
      <w:pPr>
        <w:ind w:right="20" w:firstLine="656"/>
        <w:spacing w:after="0" w:line="286" w:lineRule="auto"/>
        <w:tabs>
          <w:tab w:leader="none" w:pos="10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Offering for eligibility to participate in the Offering, provided that such Employee also meets the requirements for eligibility to participate set forth in the Plan.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10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Officers and Directors, who is employed for purposes of Section 423(b)(4) of the Code by the Company or a Related Corporation. However, service solely as a Director, or payment of a fee for such services, shall not cause a Director to be considered an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for purposes of the Plan.</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9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jc w:val="both"/>
        <w:ind w:firstLine="1142"/>
        <w:spacing w:after="0" w:line="258" w:lineRule="auto"/>
        <w:tabs>
          <w:tab w:leader="none" w:pos="1492"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shall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shall be the closing sales price on the last preceding date for which such quotation exists.</w:t>
      </w:r>
    </w:p>
    <w:p>
      <w:pPr>
        <w:spacing w:after="0" w:line="183" w:lineRule="exact"/>
        <w:rPr>
          <w:rFonts w:ascii="Times New Roman" w:cs="Times New Roman" w:eastAsia="Times New Roman" w:hAnsi="Times New Roman"/>
          <w:sz w:val="18"/>
          <w:szCs w:val="18"/>
          <w:b w:val="1"/>
          <w:bCs w:val="1"/>
          <w:color w:val="auto"/>
        </w:rPr>
      </w:pPr>
    </w:p>
    <w:p>
      <w:pPr>
        <w:ind w:left="1540" w:hanging="398"/>
        <w:spacing w:after="0"/>
        <w:tabs>
          <w:tab w:leader="none" w:pos="1540"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shall be determined by the Board in good faith.</w:t>
      </w:r>
    </w:p>
    <w:p>
      <w:pPr>
        <w:spacing w:after="0" w:line="225" w:lineRule="exact"/>
        <w:rPr>
          <w:rFonts w:ascii="Times New Roman" w:cs="Times New Roman" w:eastAsia="Times New Roman" w:hAnsi="Times New Roman"/>
          <w:sz w:val="18"/>
          <w:szCs w:val="18"/>
          <w:b w:val="1"/>
          <w:bCs w:val="1"/>
          <w:color w:val="auto"/>
        </w:rPr>
      </w:pPr>
    </w:p>
    <w:p>
      <w:pPr>
        <w:jc w:val="both"/>
        <w:ind w:firstLine="1142"/>
        <w:spacing w:after="0" w:line="266" w:lineRule="auto"/>
        <w:tabs>
          <w:tab w:leader="none" w:pos="1620"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for any Offering that commences on the IPO Date, the Fair Market Value of the shares of Common Stock at the time when the Offering commences shall be the price per share at which shares are first sold to the public in the Company’s initial public offering as specified in the final prospectus for that initial public offering.</w:t>
      </w:r>
    </w:p>
    <w:p>
      <w:pPr>
        <w:spacing w:after="0" w:line="171"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5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4"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of Purchase Rights to purchase shares of Common Stock under the Plan to Eligible Employees.</w:t>
      </w:r>
    </w:p>
    <w:p>
      <w:pPr>
        <w:spacing w:after="0" w:line="225"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2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4"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 granted pursuant to the Plan.</w:t>
      </w:r>
    </w:p>
    <w:p>
      <w:pPr>
        <w:spacing w:after="0" w:line="225"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Talphera, Inc. 2011 Employee Stock Purchase Plan.</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6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established by the Board on which Purchase Rights shall be exercised and as of which purchases of shares of Common Stock shall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0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beginning on the Offering Date or on the next day following a Purchase Date within an Offering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6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the NYSE, Nasdaq Global Select Market, the Nasdaq Global Market, or the Nasdaq Capital Market, is open for trading.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04"/>
    </w:lvl>
  </w:abstractNum>
  <w:abstractNum w:abstractNumId="2">
    <w:nsid w:val="4516DDE9"/>
    <w:multiLevelType w:val="hybridMultilevel"/>
    <w:lvl w:ilvl="0">
      <w:lvlJc w:val="left"/>
      <w:lvlText w:val="%1."/>
      <w:numFmt w:val="decimal"/>
      <w:start w:val="1"/>
    </w:lvl>
    <w:lvl w:ilvl="1">
      <w:lvlJc w:val="left"/>
      <w:lvlText w:val="(%2)"/>
      <w:numFmt w:val="lowerLetter"/>
      <w:start w:val="1"/>
    </w:lvl>
  </w:abstractNum>
  <w:abstractNum w:abstractNumId="3">
    <w:nsid w:val="3006C83E"/>
    <w:multiLevelType w:val="hybridMultilevel"/>
    <w:lvl w:ilvl="0">
      <w:lvlJc w:val="left"/>
      <w:lvlText w:val="(%1)"/>
      <w:numFmt w:val="lowerLetter"/>
      <w:start w:val="1"/>
    </w:lvl>
    <w:lvl w:ilvl="1">
      <w:lvlJc w:val="left"/>
      <w:lvlText w:val="(%2)"/>
      <w:numFmt w:val="lowerRoman"/>
      <w:start w:val="1"/>
    </w:lvl>
  </w:abstractNum>
  <w:abstractNum w:abstractNumId="4">
    <w:nsid w:val="614FD4A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3"/>
    </w:lvl>
    <w:lvl w:ilvl="1">
      <w:lvlJc w:val="left"/>
      <w:lvlText w:val="(%2)"/>
      <w:numFmt w:val="lowerRoman"/>
      <w:start w:val="1"/>
    </w:lvl>
  </w:abstractNum>
  <w:abstractNum w:abstractNumId="7">
    <w:nsid w:val="440BADFC"/>
    <w:multiLevelType w:val="hybridMultilevel"/>
    <w:lvl w:ilvl="0">
      <w:lvlJc w:val="left"/>
      <w:lvlText w:val="(%1)"/>
      <w:numFmt w:val="lowerLetter"/>
      <w:start w:val="7"/>
    </w:lvl>
    <w:lvl w:ilvl="1">
      <w:lvlJc w:val="left"/>
      <w:lvlText w:val="(%2)"/>
      <w:numFmt w:val="lowerRoman"/>
      <w:start w:val="1"/>
    </w:lvl>
  </w:abstractNum>
  <w:abstractNum w:abstractNumId="8">
    <w:nsid w:val="5072367"/>
    <w:multiLevelType w:val="hybridMultilevel"/>
    <w:lvl w:ilvl="0">
      <w:lvlJc w:val="left"/>
      <w:lvlText w:val="%1"/>
      <w:numFmt w:val="decimal"/>
      <w:start w:val="1"/>
    </w:lvl>
    <w:lvl w:ilvl="1">
      <w:lvlJc w:val="left"/>
      <w:lvlText w:val="(%2)"/>
      <w:numFmt w:val="lowerLetter"/>
      <w:start w:val="9"/>
    </w:lvl>
  </w:abstractNum>
  <w:abstractNum w:abstractNumId="9">
    <w:nsid w:val="3804823E"/>
    <w:multiLevelType w:val="hybridMultilevel"/>
    <w:lvl w:ilvl="0">
      <w:lvlJc w:val="left"/>
      <w:lvlText w:val="%1."/>
      <w:numFmt w:val="decimal"/>
      <w:start w:val="5"/>
    </w:lvl>
    <w:lvl w:ilvl="1">
      <w:lvlJc w:val="left"/>
      <w:lvlText w:val="(%2)"/>
      <w:numFmt w:val="lowerLetter"/>
      <w:start w:val="1"/>
    </w:lvl>
  </w:abstractNum>
  <w:abstractNum w:abstractNumId="10">
    <w:nsid w:val="77465F01"/>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11">
    <w:nsid w:val="7724C67E"/>
    <w:multiLevelType w:val="hybridMultilevel"/>
    <w:lvl w:ilvl="0">
      <w:lvlJc w:val="left"/>
      <w:lvlText w:val="(%1)"/>
      <w:numFmt w:val="lowerRoman"/>
      <w:start w:val="3"/>
    </w:lvl>
    <w:lvl w:ilvl="1">
      <w:lvlJc w:val="left"/>
      <w:lvlText w:val="(%2)"/>
      <w:numFmt w:val="lowerRoman"/>
      <w:start w:val="6"/>
    </w:lvl>
    <w:lvl w:ilvl="2">
      <w:lvlJc w:val="left"/>
      <w:lvlText w:val="%3"/>
      <w:numFmt w:val="decimal"/>
      <w:start w:val="1"/>
    </w:lvl>
  </w:abstractNum>
  <w:abstractNum w:abstractNumId="12">
    <w:nsid w:val="5C482A97"/>
    <w:multiLevelType w:val="hybridMultilevel"/>
    <w:lvl w:ilvl="0">
      <w:lvlJc w:val="left"/>
      <w:lvlText w:val="(%1)"/>
      <w:numFmt w:val="lowerLetter"/>
      <w:start w:val="2"/>
    </w:lvl>
  </w:abstractNum>
  <w:abstractNum w:abstractNumId="13">
    <w:nsid w:val="2463B9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
    <w:nsid w:val="5E884AD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
    <w:nsid w:val="2D51779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
    <w:nsid w:val="580BD78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153EA438"/>
    <w:multiLevelType w:val="hybridMultilevel"/>
    <w:lvl w:ilvl="0">
      <w:lvlJc w:val="left"/>
      <w:lvlText w:val="(%1)"/>
      <w:numFmt w:val="lowerLetter"/>
      <w:start w:val="2"/>
    </w:lvl>
    <w:lvl w:ilvl="1">
      <w:lvlJc w:val="left"/>
      <w:lvlText w:val="(%2)"/>
      <w:numFmt w:val="lowerRoman"/>
      <w:start w:val="1"/>
    </w:lvl>
  </w:abstractNum>
  <w:abstractNum w:abstractNumId="19">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
    <w:nsid w:val="70A64E2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
    <w:nsid w:val="6A2342EC"/>
    <w:multiLevelType w:val="hybridMultilevel"/>
    <w:lvl w:ilvl="0">
      <w:lvlJc w:val="left"/>
      <w:lvlText w:val="%1"/>
      <w:numFmt w:val="decimal"/>
      <w:start w:val="1"/>
    </w:lvl>
    <w:lvl w:ilvl="1">
      <w:lvlJc w:val="left"/>
      <w:lvlText w:val="(%2)"/>
      <w:numFmt w:val="lowerLetter"/>
      <w:start w:val="3"/>
    </w:lvl>
  </w:abstractNum>
  <w:abstractNum w:abstractNumId="22">
    <w:nsid w:val="2A487CB0"/>
    <w:multiLevelType w:val="hybridMultilevel"/>
    <w:lvl w:ilvl="0">
      <w:lvlJc w:val="left"/>
      <w:lvlText w:val="%1."/>
      <w:numFmt w:val="decimal"/>
      <w:start w:val="9"/>
    </w:lvl>
    <w:lvl w:ilvl="1">
      <w:lvlJc w:val="left"/>
      <w:lvlText w:val="(%2)"/>
      <w:numFmt w:val="lowerLetter"/>
      <w:start w:val="1"/>
    </w:lvl>
  </w:abstractNum>
  <w:abstractNum w:abstractNumId="23">
    <w:nsid w:val="1D4ED43B"/>
    <w:multiLevelType w:val="hybridMultilevel"/>
    <w:lvl w:ilvl="0">
      <w:lvlJc w:val="left"/>
      <w:lvlText w:val="(%1)"/>
      <w:numFmt w:val="lowerLetter"/>
      <w:start w:val="6"/>
    </w:lvl>
  </w:abstractNum>
  <w:abstractNum w:abstractNumId="24">
    <w:nsid w:val="725A06FB"/>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25">
    <w:nsid w:val="2CD89A3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6">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27">
    <w:nsid w:val="7A6D8D3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28">
    <w:nsid w:val="4B588F5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9">
    <w:nsid w:val="542289EC"/>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0">
    <w:nsid w:val="6DE91B18"/>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31">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7644A45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3">
    <w:nsid w:val="32FFF90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4">
    <w:nsid w:val="684A481A"/>
    <w:multiLevelType w:val="hybridMultilevel"/>
    <w:lvl w:ilvl="0">
      <w:lvlJc w:val="left"/>
      <w:lvlText w:val="%1."/>
      <w:numFmt w:val="decimal"/>
      <w:start w:val="13"/>
    </w:lvl>
  </w:abstractNum>
  <w:abstractNum w:abstractNumId="35">
    <w:nsid w:val="579478FE"/>
    <w:multiLevelType w:val="hybridMultilevel"/>
    <w:lvl w:ilvl="0">
      <w:lvlJc w:val="left"/>
      <w:lvlText w:val="%1."/>
      <w:numFmt w:val="decimal"/>
      <w:start w:val="14"/>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0"/>
    </w:lvl>
    <w:lvl w:ilvl="1">
      <w:lvlJc w:val="left"/>
      <w:lvlText w:val="(%2)"/>
      <w:numFmt w:val="lowerRoman"/>
      <w:start w:val="1"/>
    </w:lvl>
  </w:abstractNum>
  <w:abstractNum w:abstractNumId="38">
    <w:nsid w:val="1BA026FA"/>
    <w:multiLevelType w:val="hybridMultilevel"/>
    <w:lvl w:ilvl="0">
      <w:lvlJc w:val="left"/>
      <w:lvlText w:val="(%1)"/>
      <w:numFmt w:val="lowerLetter"/>
      <w:start w:val="11"/>
    </w:lvl>
  </w:abstractNum>
  <w:abstractNum w:abstractNumId="39">
    <w:nsid w:val="79A1DEAA"/>
    <w:multiLevelType w:val="hybridMultilevel"/>
    <w:lvl w:ilvl="0">
      <w:lvlJc w:val="left"/>
      <w:lvlText w:val="(%1)"/>
      <w:numFmt w:val="lowerLetter"/>
      <w:start w:val="14"/>
    </w:lvl>
    <w:lvl w:ilvl="1">
      <w:lvlJc w:val="left"/>
      <w:lvlText w:val="(%2)"/>
      <w:numFmt w:val="lowerRoman"/>
      <w:start w:val="1"/>
    </w:lvl>
  </w:abstractNum>
  <w:abstractNum w:abstractNumId="40">
    <w:nsid w:val="75C6C33A"/>
    <w:multiLevelType w:val="hybridMultilevel"/>
    <w:lvl w:ilvl="0">
      <w:lvlJc w:val="left"/>
      <w:lvlText w:val="(%1)"/>
      <w:numFmt w:val="lowerLetter"/>
      <w:start w:val="24"/>
    </w:lvl>
  </w:abstractNum>
  <w:abstractNum w:abstractNumId="41">
    <w:nsid w:val="12E685FB"/>
    <w:multiLevelType w:val="hybridMultilevel"/>
    <w:lvl w:ilvl="0">
      <w:lvlJc w:val="left"/>
      <w:lvlText w:val="(%1)"/>
      <w:numFmt w:val="lowerLetter"/>
      <w:start w:val="27"/>
    </w:lvl>
    <w:lvl w:ilvl="1">
      <w:lvlJc w:val="left"/>
      <w:lvlText w:val="(%2)"/>
      <w:numFmt w:val="lowerRoman"/>
      <w:start w:val="1"/>
    </w:lvl>
  </w:abstractNum>
  <w:abstractNum w:abstractNumId="42">
    <w:nsid w:val="70C6A529"/>
    <w:multiLevelType w:val="hybridMultilevel"/>
    <w:lvl w:ilvl="0">
      <w:lvlJc w:val="left"/>
      <w:lvlText w:val="(%1)"/>
      <w:numFmt w:val="lowerLetter"/>
      <w:start w:val="33"/>
    </w:lvl>
  </w:abstractNum>
  <w:abstractNum w:abstractNumId="43">
    <w:nsid w:val="520EEDD1"/>
    <w:multiLevelType w:val="hybridMultilevel"/>
    <w:lvl w:ilvl="0">
      <w:lvlJc w:val="left"/>
      <w:lvlText w:val="(%1)"/>
      <w:numFmt w:val="lowerLetter"/>
      <w:start w:val="46"/>
    </w:lvl>
  </w:abstractNum>
  <w:abstractNum w:abstractNumId="44">
    <w:nsid w:val="374A3FE6"/>
    <w:multiLevelType w:val="hybridMultilevel"/>
    <w:lvl w:ilvl="0">
      <w:lvlJc w:val="left"/>
      <w:lvlText w:val="(%1)"/>
      <w:numFmt w:val="lowerLetter"/>
      <w:start w:val="53"/>
    </w:lvl>
  </w:abstractNum>
  <w:abstractNum w:abstractNumId="45">
    <w:nsid w:val="4F4EF005"/>
    <w:multiLevelType w:val="hybridMultilevel"/>
    <w:lvl w:ilvl="0">
      <w:lvlJc w:val="left"/>
      <w:lvlText w:val="%1"/>
      <w:numFmt w:val="upperLetter"/>
      <w:start w:val="1"/>
    </w:lvl>
    <w:lvl w:ilvl="1">
      <w:lvlJc w:val="left"/>
      <w:lvlText w:val="(%2)"/>
      <w:numFmt w:val="lowerLetter"/>
      <w:start w:val="55"/>
    </w:lvl>
  </w:abstractNum>
  <w:abstractNum w:abstractNumId="46">
    <w:nsid w:val="23F9C13C"/>
    <w:multiLevelType w:val="hybridMultilevel"/>
    <w:lvl w:ilvl="0">
      <w:lvlJc w:val="left"/>
      <w:lvlText w:val="(%1)"/>
      <w:numFmt w:val="upperLetter"/>
      <w:start w:val="1"/>
    </w:lvl>
    <w:lvl w:ilvl="1">
      <w:lvlJc w:val="left"/>
      <w:lvlText w:val="(%2)"/>
      <w:numFmt w:val="lowerLetter"/>
      <w:start w:val="59"/>
    </w:lvl>
  </w:abstractNum>
  <w:abstractNum w:abstractNumId="47">
    <w:nsid w:val="649BB77C"/>
    <w:multiLevelType w:val="hybridMultilevel"/>
    <w:lvl w:ilvl="0">
      <w:lvlJc w:val="left"/>
      <w:lvlText w:val="(%1)"/>
      <w:numFmt w:val="lowerLetter"/>
      <w:start w:val="71"/>
    </w:lvl>
  </w:abstractNum>
  <w:abstractNum w:abstractNumId="48">
    <w:nsid w:val="275AC79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49">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Roman"/>
      <w:start w:val="1"/>
    </w:lvl>
  </w:abstractNum>
  <w:abstractNum w:abstractNumId="50">
    <w:nsid w:val="1CF10F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1">
    <w:nsid w:val="180115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235BA86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3">
    <w:nsid w:val="47398C89"/>
    <w:multiLevelType w:val="hybridMultilevel"/>
    <w:lvl w:ilvl="0">
      <w:lvlJc w:val="left"/>
      <w:lvlText w:val="%1"/>
      <w:numFmt w:val="decimal"/>
      <w:start w:val="1"/>
    </w:lvl>
    <w:lvl w:ilvl="1">
      <w:lvlJc w:val="left"/>
      <w:lvlText w:val="(%2)"/>
      <w:numFmt w:val="lowerLetter"/>
      <w:start w:val="2"/>
    </w:lvl>
  </w:abstractNum>
  <w:abstractNum w:abstractNumId="54">
    <w:nsid w:val="354FE9F9"/>
    <w:multiLevelType w:val="hybridMultilevel"/>
    <w:lvl w:ilvl="0">
      <w:lvlJc w:val="left"/>
      <w:lvlText w:val="%1."/>
      <w:numFmt w:val="decimal"/>
      <w:start w:val="8"/>
    </w:lvl>
    <w:lvl w:ilvl="1">
      <w:lvlJc w:val="left"/>
      <w:lvlText w:val="(%2)"/>
      <w:numFmt w:val="lowerLetter"/>
      <w:start w:val="1"/>
    </w:lvl>
  </w:abstractNum>
  <w:abstractNum w:abstractNumId="55">
    <w:nsid w:val="15B5AF5C"/>
    <w:multiLevelType w:val="hybridMultilevel"/>
    <w:lvl w:ilvl="0">
      <w:lvlJc w:val="left"/>
      <w:lvlText w:val="%1."/>
      <w:numFmt w:val="decimal"/>
      <w:start w:val="10"/>
    </w:lvl>
    <w:lvl w:ilvl="1">
      <w:lvlJc w:val="left"/>
      <w:lvlText w:val="(%2)"/>
      <w:numFmt w:val="lowerLetter"/>
      <w:start w:val="1"/>
    </w:lvl>
  </w:abstractNum>
  <w:abstractNum w:abstractNumId="56">
    <w:nsid w:val="741226BB"/>
    <w:multiLevelType w:val="hybridMultilevel"/>
    <w:lvl w:ilvl="0">
      <w:lvlJc w:val="left"/>
      <w:lvlText w:val="%1"/>
      <w:numFmt w:val="decimal"/>
      <w:start w:val="1"/>
    </w:lvl>
    <w:lvl w:ilvl="1">
      <w:lvlJc w:val="left"/>
      <w:lvlText w:val="(%2)"/>
      <w:numFmt w:val="lowerLetter"/>
      <w:start w:val="2"/>
    </w:lvl>
  </w:abstractNum>
  <w:abstractNum w:abstractNumId="57">
    <w:nsid w:val="D34B6A8"/>
    <w:multiLevelType w:val="hybridMultilevel"/>
    <w:lvl w:ilvl="0">
      <w:lvlJc w:val="left"/>
      <w:lvlText w:val="%1."/>
      <w:numFmt w:val="decimal"/>
      <w:start w:val="11"/>
    </w:lvl>
    <w:lvl w:ilvl="1">
      <w:lvlJc w:val="left"/>
      <w:lvlText w:val="(%2)"/>
      <w:numFmt w:val="lowerLetter"/>
      <w:start w:val="1"/>
    </w:lvl>
  </w:abstractNum>
  <w:abstractNum w:abstractNumId="58">
    <w:nsid w:val="10233C99"/>
    <w:multiLevelType w:val="hybridMultilevel"/>
    <w:lvl w:ilvl="0">
      <w:lvlJc w:val="left"/>
      <w:lvlText w:val="%1."/>
      <w:numFmt w:val="decimal"/>
      <w:start w:val="14"/>
    </w:lvl>
    <w:lvl w:ilvl="1">
      <w:lvlJc w:val="left"/>
      <w:lvlText w:val="(%2)"/>
      <w:numFmt w:val="lowerLetter"/>
      <w:start w:val="1"/>
    </w:lvl>
  </w:abstractNum>
  <w:abstractNum w:abstractNumId="59">
    <w:nsid w:val="3F6AB60F"/>
    <w:multiLevelType w:val="hybridMultilevel"/>
    <w:lvl w:ilvl="0">
      <w:lvlJc w:val="left"/>
      <w:lvlText w:val="(%1)"/>
      <w:numFmt w:val="lowerLetter"/>
      <w:start w:val="2"/>
    </w:lvl>
  </w:abstractNum>
  <w:abstractNum w:abstractNumId="60">
    <w:nsid w:val="61574095"/>
    <w:multiLevelType w:val="hybridMultilevel"/>
    <w:lvl w:ilvl="0">
      <w:lvlJc w:val="left"/>
      <w:lvlText w:val="%1."/>
      <w:numFmt w:val="decimal"/>
      <w:start w:val="15"/>
    </w:lvl>
  </w:abstractNum>
  <w:abstractNum w:abstractNumId="61">
    <w:nsid w:val="7E0C57B1"/>
    <w:multiLevelType w:val="hybridMultilevel"/>
    <w:lvl w:ilvl="0">
      <w:lvlJc w:val="left"/>
      <w:lvlText w:val="(%1)"/>
      <w:numFmt w:val="lowerLetter"/>
      <w:start w:val="1"/>
    </w:lvl>
    <w:lvl w:ilvl="1">
      <w:lvlJc w:val="left"/>
      <w:lvlText w:val="(%2)"/>
      <w:numFmt w:val="lowerRoman"/>
      <w:start w:val="1"/>
    </w:lvl>
  </w:abstractNum>
  <w:abstractNum w:abstractNumId="62">
    <w:nsid w:val="77AE35EB"/>
    <w:multiLevelType w:val="hybridMultilevel"/>
    <w:lvl w:ilvl="0">
      <w:lvlJc w:val="left"/>
      <w:lvlText w:val="(%1)"/>
      <w:numFmt w:val="lowerLetter"/>
      <w:start w:val="10"/>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2026-06-23T15:51:31Z</dcterms:created>
  <dcterms:modified xsi:type="dcterms:W3CDTF">2026-06-23T15:51:31Z</dcterms:modified>
</cp:coreProperties>
</file>