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acrx20260809_s8.htm"/>
      <w:bookmarkStart w:id="1" w:name="ksacrx20260809_s8"/>
      <w:bookmarkEnd w:id="0"/>
      <w:bookmarkEnd w:id="1"/>
      <w:r>
        <w:rPr>
          <w:rFonts w:ascii="Times New Roman" w:hAnsi="Times New Roman"/>
          <w:b/>
          <w:caps w:val="false"/>
          <w:smallCaps w:val="false"/>
          <w:sz w:val="20"/>
        </w:rPr>
        <w:t xml:space="preserve">As filed with the Securities and Exchange Commission on August 12, 2026 </w:t>
      </w:r>
      <w:r>
        <w:rPr>
          <w:rFonts w:ascii="Times New Roman" w:hAnsi="Times New Roman"/>
          <w:caps w:val="false"/>
          <w:smallCaps w:val="false"/>
          <w:sz w:val="20"/>
        </w:rPr>
        <w:t>        </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14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FORM S-8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TALPHERA,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41-2193603</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1850 Gateway Drive, Suite 175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Mateo, CA 94404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2020 Equity Incentive Plan</w:t>
      </w:r>
    </w:p>
    <w:p>
      <w:pPr>
        <w:pStyle w:val="TextBody"/>
        <w:bidi w:val="0"/>
        <w:spacing w:before="0" w:after="0"/>
        <w:ind w:left="14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2011 Employee Stock Purchase Plan</w:t>
      </w:r>
    </w:p>
    <w:p>
      <w:pPr>
        <w:pStyle w:val="TextBody"/>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plans)</w:t>
      </w:r>
    </w:p>
    <w:p>
      <w:pPr>
        <w:pStyle w:val="TextBody"/>
        <w:bidi w:val="0"/>
        <w:spacing w:before="0" w:after="0"/>
        <w:ind w:left="12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Raffi Asadorian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Talphera,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1850 Gateway Drive, Suite 175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Mateo, CA 94404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216-3500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Copy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T. McKenna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Cooley LLP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3175 Hanover Street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Palo Alto, California 94304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843-5000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450"/>
        <w:gridCol w:w="2450"/>
      </w:tblGrid>
      <w:tr>
        <w:trPr/>
        <w:tc>
          <w:tcPr>
            <w:tcW w:w="2450" w:type="dxa"/>
            <w:tcBorders/>
            <w:vAlign w:val="center"/>
          </w:tcPr>
          <w:p>
            <w:pPr>
              <w:pStyle w:val="TableContents"/>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Talphera, Inc. (the “Registrant”) is filing this Registration Statement on Form S-8 with the Securities and Exchange Commission (the “Commission”) for the purpose of registering 4,000,000 additional shares of common stock to be issued pursuant to the Registrant’s Amended and Restated 2020 Equity Incentive Plan (the “2020 Equity Incentive Plan”) and 100,000 additional shares of common stock to be issued pursuant to the Registrant’s Amended and Restated 2011 Employee Stock Purchase Plan (the “2011 Employee Stock Purchase Plan”). The contents of the Registrant’s registration statements on Form S-8 (SEC File Nos. </w:t>
      </w:r>
      <w:hyperlink r:id="rId2">
        <w:r>
          <w:rPr>
            <w:rStyle w:val="InternetLink"/>
            <w:rFonts w:ascii="Times New Roman" w:hAnsi="Times New Roman"/>
            <w:caps w:val="false"/>
            <w:smallCaps w:val="false"/>
            <w:sz w:val="20"/>
            <w:u w:val="single"/>
          </w:rPr>
          <w:t>333-239213</w:t>
        </w:r>
      </w:hyperlink>
      <w:r>
        <w:rPr>
          <w:rFonts w:ascii="Times New Roman" w:hAnsi="Times New Roman"/>
          <w:caps w:val="false"/>
          <w:smallCaps w:val="false"/>
          <w:sz w:val="20"/>
        </w:rPr>
        <w:t xml:space="preserve">, </w:t>
      </w:r>
      <w:hyperlink r:id="rId3">
        <w:r>
          <w:rPr>
            <w:rStyle w:val="InternetLink"/>
            <w:rFonts w:ascii="Times New Roman" w:hAnsi="Times New Roman"/>
            <w:caps w:val="false"/>
            <w:smallCaps w:val="false"/>
            <w:sz w:val="20"/>
            <w:u w:val="single"/>
          </w:rPr>
          <w:t>333-258896</w:t>
        </w:r>
      </w:hyperlink>
      <w:r>
        <w:rPr>
          <w:rFonts w:ascii="Times New Roman" w:hAnsi="Times New Roman"/>
          <w:caps w:val="false"/>
          <w:smallCaps w:val="false"/>
          <w:sz w:val="20"/>
        </w:rPr>
        <w:t xml:space="preserve">, </w:t>
      </w:r>
      <w:hyperlink r:id="rId4">
        <w:r>
          <w:rPr>
            <w:rStyle w:val="InternetLink"/>
            <w:rFonts w:ascii="Times New Roman" w:hAnsi="Times New Roman"/>
            <w:caps w:val="false"/>
            <w:smallCaps w:val="false"/>
            <w:sz w:val="20"/>
            <w:u w:val="single"/>
          </w:rPr>
          <w:t>333-275720</w:t>
        </w:r>
      </w:hyperlink>
      <w:r>
        <w:rPr>
          <w:rFonts w:ascii="Times New Roman" w:hAnsi="Times New Roman"/>
          <w:caps w:val="false"/>
          <w:smallCaps w:val="false"/>
          <w:sz w:val="20"/>
        </w:rPr>
        <w:t xml:space="preserve">, </w:t>
      </w:r>
      <w:hyperlink r:id="rId5">
        <w:r>
          <w:rPr>
            <w:rStyle w:val="InternetLink"/>
            <w:rFonts w:ascii="Times New Roman" w:hAnsi="Times New Roman"/>
            <w:caps w:val="false"/>
            <w:smallCaps w:val="false"/>
            <w:sz w:val="20"/>
            <w:u w:val="single"/>
          </w:rPr>
          <w:t>333-281560</w:t>
        </w:r>
      </w:hyperlink>
      <w:r>
        <w:rPr>
          <w:rFonts w:ascii="Times New Roman" w:hAnsi="Times New Roman"/>
          <w:caps w:val="false"/>
          <w:smallCaps w:val="false"/>
          <w:sz w:val="20"/>
        </w:rPr>
        <w:t xml:space="preserve"> and </w:t>
      </w:r>
      <w:hyperlink r:id="rId6">
        <w:r>
          <w:rPr>
            <w:rStyle w:val="InternetLink"/>
            <w:rFonts w:ascii="Times New Roman" w:hAnsi="Times New Roman"/>
            <w:caps w:val="false"/>
            <w:smallCaps w:val="false"/>
            <w:sz w:val="20"/>
            <w:u w:val="single"/>
          </w:rPr>
          <w:t>333-291123</w:t>
        </w:r>
      </w:hyperlink>
      <w:r>
        <w:rPr>
          <w:rFonts w:ascii="Times New Roman" w:hAnsi="Times New Roman"/>
          <w:caps w:val="false"/>
          <w:smallCaps w:val="false"/>
          <w:sz w:val="20"/>
        </w:rPr>
        <w:t xml:space="preserve"> filed with the Commission on June 16, 2020, August 18, 2021, November 22, 2023, August 14, 2024, and October 28, 2025, respectively) are incorporated by reference pursuant to General Instruction E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INFORMATION REQUIRED IN THE SECTION 10(a)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Part I of Form S-8 to be contained in the Section 10(a) prospectus is omitted from this Registration Statement in accordance with Rule 428 under the Securities Act of 1933, as amended (the “Securities Act”). The document(s) containing the information specified in Part I will be sent or given to the participant in the 2020 Equity Incentive Plan and 2011 Employee Stock Purchase Plan pursuant to Rule 428(b)(1). These document(s) and the documents incorporated by reference in the Registration Statement pursuant to Item 3 of Part II of this form,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filed by the Registrant with the Commission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28"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Annual Report on Form 10-K for the year ended December 31, 2025, filed with the Commission on </w:t>
            </w:r>
            <w:hyperlink r:id="rId7">
              <w:r>
                <w:rPr>
                  <w:rStyle w:val="InternetLink"/>
                  <w:rFonts w:ascii="Times New Roman;Times;serif" w:hAnsi="Times New Roman;Times;serif"/>
                  <w:caps w:val="false"/>
                  <w:smallCaps w:val="false"/>
                  <w:sz w:val="20"/>
                  <w:u w:val="single"/>
                </w:rPr>
                <w:t>March 23, 2026</w:t>
              </w:r>
            </w:hyperlink>
            <w:r>
              <w:rPr>
                <w:rFonts w:ascii="Times New Roman;Times;serif" w:hAnsi="Times New Roman;Times;serif"/>
                <w:caps w:val="false"/>
                <w:smallCaps w:val="false"/>
                <w:sz w:val="20"/>
              </w:rPr>
              <w:t> (the “2025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the Registrant’s information specifically incorporated by reference in the 2025 10-K from the Registrant’s definitive proxy statement on Schedule 14A for the 2026 annual meeting of stockholders, filed with the Commission on </w:t>
            </w:r>
            <w:hyperlink r:id="rId8">
              <w:r>
                <w:rPr>
                  <w:rStyle w:val="InternetLink"/>
                  <w:rFonts w:ascii="Times New Roman;Times;serif" w:hAnsi="Times New Roman;Times;serif"/>
                  <w:caps w:val="false"/>
                  <w:smallCaps w:val="false"/>
                  <w:sz w:val="20"/>
                  <w:u w:val="single"/>
                </w:rPr>
                <w:t>April 29, 2026</w:t>
              </w:r>
            </w:hyperlink>
            <w:r>
              <w:rPr>
                <w:rFonts w:ascii="Times New Roman;Times;serif" w:hAnsi="Times New Roman;Times;serif"/>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3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Current Report on Form 8-K, filed with the Commission on </w:t>
            </w:r>
            <w:hyperlink r:id="rId9">
              <w:r>
                <w:rPr>
                  <w:rStyle w:val="InternetLink"/>
                  <w:rFonts w:ascii="Times New Roman;Times;serif" w:hAnsi="Times New Roman;Times;serif"/>
                  <w:caps w:val="false"/>
                  <w:smallCaps w:val="false"/>
                  <w:sz w:val="20"/>
                  <w:u w:val="single"/>
                </w:rPr>
                <w:t>March 13, 2026</w:t>
              </w:r>
            </w:hyperlink>
            <w:r>
              <w:rPr>
                <w:rFonts w:ascii="Times New Roman;Times;serif" w:hAnsi="Times New Roman;Times;serif"/>
                <w:caps w:val="false"/>
                <w:smallCaps w:val="false"/>
                <w:sz w:val="20"/>
              </w:rPr>
              <w:t xml:space="preserve">, </w:t>
            </w:r>
            <w:hyperlink r:id="rId10">
              <w:r>
                <w:rPr>
                  <w:rStyle w:val="InternetLink"/>
                  <w:rFonts w:ascii="Times New Roman;Times;serif" w:hAnsi="Times New Roman;Times;serif"/>
                  <w:caps w:val="false"/>
                  <w:smallCaps w:val="false"/>
                  <w:sz w:val="20"/>
                  <w:u w:val="single"/>
                </w:rPr>
                <w:t>March 16, 2026</w:t>
              </w:r>
            </w:hyperlink>
            <w:r>
              <w:rPr>
                <w:rFonts w:ascii="Times New Roman;Times;serif" w:hAnsi="Times New Roman;Times;serif"/>
                <w:caps w:val="false"/>
                <w:smallCaps w:val="false"/>
                <w:sz w:val="20"/>
              </w:rPr>
              <w:t xml:space="preserve">, and </w:t>
            </w:r>
            <w:hyperlink r:id="rId11">
              <w:r>
                <w:rPr>
                  <w:rStyle w:val="InternetLink"/>
                  <w:rFonts w:ascii="Times New Roman;Times;serif" w:hAnsi="Times New Roman;Times;serif"/>
                  <w:caps w:val="false"/>
                  <w:smallCaps w:val="false"/>
                  <w:sz w:val="20"/>
                  <w:u w:val="single"/>
                </w:rPr>
                <w:t>June 23,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2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Registrant’s Quarterly Reports on Form 10-Q for the quarterly periods ended March 31, 2026 and June 30, 2026, filed with the Commission on </w:t>
            </w:r>
            <w:hyperlink r:id="rId12">
              <w:r>
                <w:rPr>
                  <w:rStyle w:val="InternetLink"/>
                  <w:rFonts w:ascii="Times New Roman;Times;serif" w:hAnsi="Times New Roman;Times;serif"/>
                  <w:caps w:val="false"/>
                  <w:smallCaps w:val="false"/>
                  <w:sz w:val="20"/>
                  <w:u w:val="single"/>
                </w:rPr>
                <w:t>May 13, 2026</w:t>
              </w:r>
            </w:hyperlink>
            <w:r>
              <w:rPr>
                <w:rFonts w:ascii="Times New Roman;Times;serif" w:hAnsi="Times New Roman;Times;serif"/>
                <w:caps w:val="false"/>
                <w:smallCaps w:val="false"/>
                <w:sz w:val="20"/>
              </w:rPr>
              <w:t xml:space="preserve"> and </w:t>
            </w:r>
            <w:hyperlink r:id="rId13">
              <w:r>
                <w:rPr>
                  <w:rStyle w:val="InternetLink"/>
                  <w:rFonts w:ascii="Times New Roman;Times;serif" w:hAnsi="Times New Roman;Times;serif"/>
                  <w:caps w:val="false"/>
                  <w:smallCaps w:val="false"/>
                  <w:sz w:val="20"/>
                </w:rPr>
                <w:t>August 12, 2026</w:t>
              </w:r>
            </w:hyperlink>
            <w:r>
              <w:rPr>
                <w:rFonts w:ascii="Times New Roman;Times;serif" w:hAnsi="Times New Roman;Times;serif"/>
                <w:caps w:val="false"/>
                <w:smallCaps w:val="false"/>
                <w:sz w:val="20"/>
              </w:rPr>
              <w:t>, respectively;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1"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description of the Registrant’s common stock which is contained in a registration statement on Form 8-A filed with the Commission on </w:t>
            </w:r>
            <w:hyperlink r:id="rId14">
              <w:r>
                <w:rPr>
                  <w:rStyle w:val="InternetLink"/>
                  <w:rFonts w:ascii="Times New Roman;Times;serif" w:hAnsi="Times New Roman;Times;serif"/>
                  <w:caps w:val="false"/>
                  <w:smallCaps w:val="false"/>
                  <w:sz w:val="20"/>
                  <w:u w:val="single"/>
                </w:rPr>
                <w:t>February 1, 2011</w:t>
              </w:r>
            </w:hyperlink>
            <w:r>
              <w:rPr>
                <w:rFonts w:ascii="Times New Roman;Times;serif" w:hAnsi="Times New Roman;Times;serif"/>
                <w:caps w:val="false"/>
                <w:smallCaps w:val="false"/>
                <w:sz w:val="20"/>
              </w:rPr>
              <w:t xml:space="preserve"> under the Securities Exchange Act of 1934, as amended (the “Exchange Act”), as updated by </w:t>
            </w:r>
            <w:hyperlink r:id="rId15">
              <w:r>
                <w:rPr>
                  <w:rStyle w:val="InternetLink"/>
                  <w:rFonts w:ascii="Times New Roman;Times;serif" w:hAnsi="Times New Roman;Times;serif"/>
                  <w:caps w:val="false"/>
                  <w:smallCaps w:val="false"/>
                  <w:sz w:val="20"/>
                </w:rPr>
                <w:t>Exhibit 4.1</w:t>
              </w:r>
            </w:hyperlink>
            <w:r>
              <w:rPr>
                <w:rFonts w:ascii="Times New Roman;Times;serif" w:hAnsi="Times New Roman;Times;serif"/>
                <w:caps w:val="false"/>
                <w:smallCaps w:val="false"/>
                <w:sz w:val="20"/>
              </w:rPr>
              <w:t> of the Registrant’s Annual Report on Form 10-K for the year ended December 31, 2020, filed with the Commission on March 15, 2021, and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6196"/>
        <w:gridCol w:w="60"/>
        <w:gridCol w:w="500"/>
        <w:gridCol w:w="60"/>
        <w:gridCol w:w="984"/>
        <w:gridCol w:w="60"/>
        <w:gridCol w:w="650"/>
        <w:gridCol w:w="60"/>
        <w:gridCol w:w="865"/>
      </w:tblGrid>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 File 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02/18/2011</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06/25/2019</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10/25/2022</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Amended and Restated Bylaws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is made to Exhibits 3.1 through 3.5.</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Specimen Common Stock Certificate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S-1/A</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333-170594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01/31/2011</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w:anchor="ex_1001876.htm">
              <w:r>
                <w:rPr>
                  <w:rStyle w:val="InternetLink"/>
                  <w:rFonts w:ascii="Times New Roman" w:hAnsi="Times New Roman"/>
                  <w:caps w:val="false"/>
                  <w:smallCaps w:val="false"/>
                  <w:sz w:val="20"/>
                </w:rPr>
                <w:t>Opinion of Cooley LLP.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w:anchor="ex_1001877.htm">
              <w:r>
                <w:rPr>
                  <w:rStyle w:val="InternetLink"/>
                  <w:rFonts w:ascii="Times New Roman" w:hAnsi="Times New Roman"/>
                  <w:caps w:val="false"/>
                  <w:smallCaps w:val="false"/>
                  <w:sz w:val="20"/>
                </w:rPr>
                <w:t>Consent of BPM LLP,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of this Form S-8).</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Amended and Restated 2020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06/23/2026</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99.4+</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Amended and Restated 2011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06/23/2026</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6196" w:type="dxa"/>
            <w:tcBorders/>
            <w:vAlign w:val="center"/>
          </w:tcPr>
          <w:p>
            <w:pPr>
              <w:pStyle w:val="TableContents"/>
              <w:bidi w:val="0"/>
              <w:spacing w:before="0" w:after="0"/>
              <w:ind w:left="0" w:right="0" w:hanging="0"/>
              <w:jc w:val="left"/>
              <w:rPr/>
            </w:pPr>
            <w:hyperlink w:anchor="ex_1001878.htm">
              <w:r>
                <w:rPr>
                  <w:rStyle w:val="InternetLink"/>
                  <w:rFonts w:ascii="Times New Roman" w:hAnsi="Times New Roman"/>
                  <w:caps w:val="false"/>
                  <w:smallCaps w:val="false"/>
                  <w:sz w:val="20"/>
                  <w:u w:val="single"/>
                </w:rPr>
                <w:t>Filing Fee Table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510" w:type="dxa"/>
        <w:jc w:val="left"/>
        <w:tblInd w:w="0" w:type="dxa"/>
        <w:tblLayout w:type="fixed"/>
        <w:tblCellMar>
          <w:top w:w="0" w:type="dxa"/>
          <w:left w:w="0" w:type="dxa"/>
          <w:bottom w:w="0" w:type="dxa"/>
          <w:right w:w="0" w:type="dxa"/>
        </w:tblCellMar>
      </w:tblPr>
      <w:tblGrid>
        <w:gridCol w:w="125"/>
        <w:gridCol w:w="438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management contract or compensatory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w:t>
        <w:noBreakHyphen/>
        <w:t>8 and has duly caused this Registration Statement to be signed on its behalf by the undersigned, thereunto duly authorized, in the City of San Mateo, State of California, on August 12, 2026.</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320"/>
        <w:gridCol w:w="1925"/>
        <w:gridCol w:w="60"/>
      </w:tblGrid>
      <w:tr>
        <w:trPr/>
        <w:tc>
          <w:tcPr>
            <w:tcW w:w="6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TALPHERA,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25"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Vincent J. Angotti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Vincent J. Angotti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smallCaps/>
          <w:sz w:val="20"/>
        </w:rPr>
        <w:t>Know all persons by these presents</w:t>
      </w:r>
      <w:r>
        <w:rPr>
          <w:rFonts w:ascii="Times New Roman" w:hAnsi="Times New Roman"/>
          <w:caps w:val="false"/>
          <w:smallCaps w:val="false"/>
          <w:sz w:val="20"/>
        </w:rPr>
        <w:t>, that each person whose signature appears below constitutes and appoints Vincent J. Angotti and Raffi Asadorian, and each or 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dates indicated. </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1850"/>
        <w:gridCol w:w="60"/>
        <w:gridCol w:w="3740"/>
        <w:gridCol w:w="60"/>
        <w:gridCol w:w="1385"/>
      </w:tblGrid>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Vincent J. Angotti</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Raffi Asadorian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Adrian Adams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Chairman</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Adrian Adams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Marina Bozilenko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Marina Bozilenko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Jill Broadfoot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Jill Broadfoot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Stephen J. Hoffman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Stephen J. Hoffman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Abhinav Jain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Abhinav Jain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Joseph Todisco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Joseph Todisco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Mark Wan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12, 2026</w:t>
            </w:r>
          </w:p>
        </w:tc>
      </w:tr>
      <w:tr>
        <w:trPr/>
        <w:tc>
          <w:tcPr>
            <w:tcW w:w="18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 Wan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 w:name="ex_1001876.htm"/>
      <w:bookmarkStart w:id="4" w:name="ksex_1001876"/>
      <w:bookmarkEnd w:id="3"/>
      <w:bookmarkEnd w:id="4"/>
      <w:r>
        <w:rPr>
          <w:rFonts w:ascii="Times New Roman;Times;serif" w:hAnsi="Times New Roman;Times;serif"/>
          <w:b/>
          <w:sz w:val="20"/>
        </w:rPr>
        <w:t>Exhibit 5.1</w:t>
      </w:r>
      <w:r>
        <w:br w:type="page"/>
      </w:r>
    </w:p>
    <w:p>
      <w:pPr>
        <w:pStyle w:val="TextBody"/>
        <w:bidi w:val="0"/>
        <w:spacing w:before="0" w:after="0"/>
        <w:ind w:left="0" w:right="0" w:hanging="0"/>
        <w:jc w:val="left"/>
        <w:rPr/>
      </w:pPr>
      <w:r>
        <w:rPr/>
        <w:t> </w:t>
      </w:r>
      <w:r>
        <w:rPr/>
        <w:drawing>
          <wp:inline distT="0" distB="0" distL="0" distR="0">
            <wp:extent cx="1297940" cy="417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1297940" cy="4178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T. McKenna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+1 650 843 5059</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jmckenna@cooley.com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Talphera,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1850 Gateway Drive, Suite 175</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Mateo, CA 94404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acted as counsel to Talphera,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in connection with the filing of a Registration Statement on Form S-8 (the “</w:t>
      </w:r>
      <w:r>
        <w:rPr>
          <w:rFonts w:ascii="Times New Roman" w:hAnsi="Times New Roman"/>
          <w:b/>
          <w:i/>
          <w:caps w:val="false"/>
          <w:smallCaps w:val="false"/>
          <w:sz w:val="20"/>
        </w:rPr>
        <w:t>Registration Statement</w:t>
      </w:r>
      <w:r>
        <w:rPr>
          <w:rFonts w:ascii="Times New Roman" w:hAnsi="Times New Roman"/>
          <w:caps w:val="false"/>
          <w:smallCaps w:val="false"/>
          <w:sz w:val="20"/>
        </w:rPr>
        <w:t>”)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covering the offering of up to 4,100,000 shares (the “</w:t>
      </w:r>
      <w:r>
        <w:rPr>
          <w:rFonts w:ascii="Times New Roman" w:hAnsi="Times New Roman"/>
          <w:b/>
          <w:i/>
          <w:caps w:val="false"/>
          <w:smallCaps w:val="false"/>
          <w:sz w:val="20"/>
        </w:rPr>
        <w:t>Shares</w:t>
      </w:r>
      <w:r>
        <w:rPr>
          <w:rFonts w:ascii="Times New Roman" w:hAnsi="Times New Roman"/>
          <w:caps w:val="false"/>
          <w:smallCaps w:val="false"/>
          <w:sz w:val="20"/>
        </w:rPr>
        <w:t>”) of the Company’s Common Stock, par value $0.001 per share (“</w:t>
      </w:r>
      <w:r>
        <w:rPr>
          <w:rFonts w:ascii="Times New Roman" w:hAnsi="Times New Roman"/>
          <w:b/>
          <w:i/>
          <w:caps w:val="false"/>
          <w:smallCaps w:val="false"/>
          <w:sz w:val="20"/>
        </w:rPr>
        <w:t>Common Stock</w:t>
      </w:r>
      <w:r>
        <w:rPr>
          <w:rFonts w:ascii="Times New Roman" w:hAnsi="Times New Roman"/>
          <w:caps w:val="false"/>
          <w:smallCaps w:val="false"/>
          <w:sz w:val="20"/>
        </w:rPr>
        <w:t>”), consisting of (i) 4,000,000 shares of Common Stock issuable pursuant to the Company’s Amended and Restated 2020 Equity Incentive Plan (the “</w:t>
      </w:r>
      <w:r>
        <w:rPr>
          <w:rFonts w:ascii="Times New Roman" w:hAnsi="Times New Roman"/>
          <w:b/>
          <w:i/>
          <w:caps w:val="false"/>
          <w:smallCaps w:val="false"/>
          <w:sz w:val="20"/>
        </w:rPr>
        <w:t>2020 EIP</w:t>
      </w:r>
      <w:r>
        <w:rPr>
          <w:rFonts w:ascii="Times New Roman" w:hAnsi="Times New Roman"/>
          <w:caps w:val="false"/>
          <w:smallCaps w:val="false"/>
          <w:sz w:val="20"/>
        </w:rPr>
        <w:t>”) and (ii) 100,000 shares of Common Stock issuable pursuant to the Company’s Amended and Restated 2011 Employee Stock Purchase Plan (together with the 2020 EIP, the “</w:t>
      </w:r>
      <w:r>
        <w:rPr>
          <w:rFonts w:ascii="Times New Roman" w:hAnsi="Times New Roman"/>
          <w:b/>
          <w:i/>
          <w:caps w:val="false"/>
          <w:smallCaps w:val="false"/>
          <w:sz w:val="20"/>
        </w:rPr>
        <w:t>Plans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opinion, we have examined and relied upon (a) the Registration Statement and the related prospectuses, (b) the Plans, (c) the Company’s certificate of incorporation and bylaws, each as currently in effect, and (d) such other documents, records,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the basis of the foregoing, and in reliance thereon, we are of the opinion that the Shares, when sold and issued in accordance with the Plans, the Registration Statement and the related prospectuses, will be validly issued, fully paid, and nonassessable (except as to the Shares issued pursuant to deferred payment arrangements, which will be fully paid and nonassessable when such deferred payments are made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is limited to the matters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Cooley LLP   3175 Hanover Street   Palo Alto, CA   94304</w:t>
        <w:br/>
        <w:t>t: (650) 843-5000  f: (650) 849-7400  cooley.com</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drawing>
          <wp:inline distT="0" distB="0" distL="0" distR="0">
            <wp:extent cx="1297940" cy="4178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1297940" cy="41783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Talphera,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12,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Two</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Cooley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John T. McKenna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John T. McKenna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7920" w:right="0" w:hanging="0"/>
        <w:jc w:val="right"/>
        <w:rPr>
          <w:rFonts w:ascii="Times New Roman" w:hAnsi="Times New Roman"/>
          <w:b/>
          <w:caps w:val="false"/>
          <w:smallCaps w:val="false"/>
          <w:sz w:val="20"/>
        </w:rPr>
      </w:pPr>
      <w:bookmarkStart w:id="5" w:name="ex_1001877.htm"/>
      <w:bookmarkStart w:id="6" w:name="ksex_1001877"/>
      <w:bookmarkEnd w:id="5"/>
      <w:bookmarkEnd w:id="6"/>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this Registration Statement on Form S-8 of Talphera, Inc. of our report dated March 23, 2026 relating to the consolidated financial statements, which appears in Talphera,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BPM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12, 2026</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1001878.htm"/>
      <w:bookmarkStart w:id="8" w:name="ksex_1001878"/>
      <w:bookmarkStart w:id="9" w:name="ex_1001878.htm"/>
      <w:bookmarkStart w:id="10" w:name="ksex_1001878"/>
      <w:bookmarkEnd w:id="9"/>
      <w:bookmarkEnd w:id="10"/>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TALPHERA,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172"/>
        <w:gridCol w:w="1291"/>
        <w:gridCol w:w="1201"/>
        <w:gridCol w:w="1210"/>
        <w:gridCol w:w="1581"/>
        <w:gridCol w:w="1126"/>
        <w:gridCol w:w="1427"/>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172" w:type="dxa"/>
            <w:tcBorders/>
            <w:shd w:fill="E7E7E2" w:val="clear"/>
            <w:vAlign w:val="center"/>
          </w:tcPr>
          <w:p>
            <w:pPr>
              <w:pStyle w:val="TableContents"/>
              <w:bidi w:val="0"/>
              <w:spacing w:before="0" w:after="283"/>
              <w:jc w:val="left"/>
              <w:rPr/>
            </w:pPr>
            <w:r>
              <w:rPr/>
              <w:t xml:space="preserve">Common Stock, $0.001 par value per share, 2020 Equity Incentive Plan </w:t>
            </w:r>
          </w:p>
        </w:tc>
        <w:tc>
          <w:tcPr>
            <w:tcW w:w="1291"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4,000,000 </w:t>
            </w:r>
          </w:p>
        </w:tc>
        <w:tc>
          <w:tcPr>
            <w:tcW w:w="1210" w:type="dxa"/>
            <w:tcBorders/>
            <w:shd w:fill="E7E7E2" w:val="clear"/>
            <w:vAlign w:val="center"/>
          </w:tcPr>
          <w:p>
            <w:pPr>
              <w:pStyle w:val="TableContents"/>
              <w:bidi w:val="0"/>
              <w:spacing w:before="0" w:after="283"/>
              <w:jc w:val="right"/>
              <w:rPr/>
            </w:pPr>
            <w:r>
              <w:rPr/>
              <w:t xml:space="preserve">$ 1.39 </w:t>
            </w:r>
          </w:p>
        </w:tc>
        <w:tc>
          <w:tcPr>
            <w:tcW w:w="1581" w:type="dxa"/>
            <w:tcBorders/>
            <w:shd w:fill="E7E7E2" w:val="clear"/>
            <w:vAlign w:val="center"/>
          </w:tcPr>
          <w:p>
            <w:pPr>
              <w:pStyle w:val="TableContents"/>
              <w:bidi w:val="0"/>
              <w:spacing w:before="0" w:after="283"/>
              <w:jc w:val="right"/>
              <w:rPr/>
            </w:pPr>
            <w:r>
              <w:rPr/>
              <w:t xml:space="preserve">$ 5,560,000.00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$ 767.84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6" w:type="dxa"/>
            <w:tcBorders/>
            <w:shd w:fill="E7E7E2" w:val="clear"/>
            <w:vAlign w:val="center"/>
          </w:tcPr>
          <w:p>
            <w:pPr>
              <w:pStyle w:val="TableContents"/>
              <w:bidi w:val="0"/>
              <w:spacing w:before="0" w:after="283"/>
              <w:jc w:val="left"/>
              <w:rPr/>
            </w:pPr>
            <w:r>
              <w:rPr/>
              <w:t xml:space="preserve">Equity </w:t>
            </w:r>
          </w:p>
        </w:tc>
        <w:tc>
          <w:tcPr>
            <w:tcW w:w="1172" w:type="dxa"/>
            <w:tcBorders/>
            <w:shd w:fill="E7E7E2" w:val="clear"/>
            <w:vAlign w:val="center"/>
          </w:tcPr>
          <w:p>
            <w:pPr>
              <w:pStyle w:val="TableContents"/>
              <w:bidi w:val="0"/>
              <w:spacing w:before="0" w:after="283"/>
              <w:jc w:val="left"/>
              <w:rPr/>
            </w:pPr>
            <w:r>
              <w:rPr/>
              <w:t xml:space="preserve">Common Stock, $0.001 par value per share, 2011 Employee Stock Purchase Plan </w:t>
            </w:r>
          </w:p>
        </w:tc>
        <w:tc>
          <w:tcPr>
            <w:tcW w:w="1291"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100,000 </w:t>
            </w:r>
          </w:p>
        </w:tc>
        <w:tc>
          <w:tcPr>
            <w:tcW w:w="1210" w:type="dxa"/>
            <w:tcBorders/>
            <w:shd w:fill="E7E7E2" w:val="clear"/>
            <w:vAlign w:val="center"/>
          </w:tcPr>
          <w:p>
            <w:pPr>
              <w:pStyle w:val="TableContents"/>
              <w:bidi w:val="0"/>
              <w:spacing w:before="0" w:after="283"/>
              <w:jc w:val="right"/>
              <w:rPr/>
            </w:pPr>
            <w:r>
              <w:rPr/>
              <w:t xml:space="preserve">$ 1.39 </w:t>
            </w:r>
          </w:p>
        </w:tc>
        <w:tc>
          <w:tcPr>
            <w:tcW w:w="1581" w:type="dxa"/>
            <w:tcBorders/>
            <w:shd w:fill="E7E7E2" w:val="clear"/>
            <w:vAlign w:val="center"/>
          </w:tcPr>
          <w:p>
            <w:pPr>
              <w:pStyle w:val="TableContents"/>
              <w:bidi w:val="0"/>
              <w:spacing w:before="0" w:after="283"/>
              <w:jc w:val="right"/>
              <w:rPr/>
            </w:pPr>
            <w:r>
              <w:rPr/>
              <w:t xml:space="preserve">$ 139,000.00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$ 19.20 </w:t>
            </w:r>
          </w:p>
        </w:tc>
      </w:tr>
      <w:tr>
        <w:trPr/>
        <w:tc>
          <w:tcPr>
            <w:tcW w:w="4861" w:type="dxa"/>
            <w:gridSpan w:val="5"/>
            <w:tcBorders/>
            <w:vAlign w:val="center"/>
          </w:tcPr>
          <w:p>
            <w:pPr>
              <w:pStyle w:val="TableContents"/>
              <w:bidi w:val="0"/>
              <w:spacing w:before="0" w:after="0"/>
              <w:ind w:left="0" w:right="0" w:hanging="0"/>
              <w:jc w:val="right"/>
              <w:rPr/>
            </w:pPr>
            <w:r>
              <w:rPr/>
              <w:t>Total Offering Amounts:</w:t>
            </w:r>
          </w:p>
        </w:tc>
        <w:tc>
          <w:tcPr>
            <w:tcW w:w="121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0"/>
              <w:ind w:left="0" w:right="0" w:hanging="0"/>
              <w:jc w:val="right"/>
              <w:rPr/>
            </w:pPr>
            <w:bookmarkStart w:id="11" w:name="MaxAggtOfferingPrice"/>
            <w:bookmarkEnd w:id="11"/>
            <w:r>
              <w:rPr/>
              <w:t xml:space="preserve">$ 5,699,000.00 </w:t>
            </w:r>
          </w:p>
        </w:tc>
        <w:tc>
          <w:tcPr>
            <w:tcW w:w="1126" w:type="dxa"/>
            <w:tcBorders/>
            <w:vAlign w:val="center"/>
          </w:tcPr>
          <w:p>
            <w:pPr>
              <w:pStyle w:val="TableContents"/>
              <w:bidi w:val="0"/>
              <w:spacing w:before="0" w:after="283"/>
              <w:jc w:val="left"/>
              <w:rPr>
                <w:sz w:val="4"/>
                <w:szCs w:val="4"/>
              </w:rPr>
            </w:pPr>
            <w:r>
              <w:rPr>
                <w:sz w:val="4"/>
                <w:szCs w:val="4"/>
              </w:rPr>
            </w:r>
          </w:p>
        </w:tc>
        <w:tc>
          <w:tcPr>
            <w:tcW w:w="142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$ 787.04 </w:t>
            </w:r>
          </w:p>
        </w:tc>
      </w:tr>
      <w:tr>
        <w:trPr/>
        <w:tc>
          <w:tcPr>
            <w:tcW w:w="4861" w:type="dxa"/>
            <w:gridSpan w:val="5"/>
            <w:tcBorders/>
            <w:vAlign w:val="center"/>
          </w:tcPr>
          <w:p>
            <w:pPr>
              <w:pStyle w:val="TableContents"/>
              <w:bidi w:val="0"/>
              <w:spacing w:before="0" w:after="0"/>
              <w:ind w:left="0" w:right="0" w:hanging="0"/>
              <w:jc w:val="right"/>
              <w:rPr/>
            </w:pPr>
            <w:r>
              <w:rPr/>
              <w:t xml:space="preserve">Total Fee Offsets: </w:t>
            </w:r>
          </w:p>
        </w:tc>
        <w:tc>
          <w:tcPr>
            <w:tcW w:w="121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61" w:type="dxa"/>
            <w:gridSpan w:val="5"/>
            <w:tcBorders/>
            <w:vAlign w:val="center"/>
          </w:tcPr>
          <w:p>
            <w:pPr>
              <w:pStyle w:val="TableContents"/>
              <w:bidi w:val="0"/>
              <w:spacing w:before="0" w:after="0"/>
              <w:ind w:left="0" w:right="0" w:hanging="0"/>
              <w:jc w:val="right"/>
              <w:rPr/>
            </w:pPr>
            <w:r>
              <w:rPr/>
              <w:t xml:space="preserve">Net Fee Due: </w:t>
            </w:r>
          </w:p>
        </w:tc>
        <w:tc>
          <w:tcPr>
            <w:tcW w:w="121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14" w:name="NetFeeAmt"/>
            <w:bookmarkEnd w:id="14"/>
            <w:r>
              <w:rPr/>
              <w:t xml:space="preserve">$ 787.04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promulgated under the Securities Act, as amended (the "Securities Act"), this Registration Statement shall also cover any additional shares of common stock that become issuable under the Registrant's 2020 Equity Incentive Plan and 2011 Employee Stock Purchase Plan by reason of any stock dividend, stock split, recapitalization, or other similar transaction effected that results in an increase to the number of outstanding shares of the Registrant's common stock, as applicable. (2) Estimated pursuant to Rules 457(c) and 457(h) under the Securities Act, solely for the purposes of calculating the registration fee and based on the average of the high and low prices of the Registrant's common stock as reported on The Nasdaq Capital Market on August 5, 2026, which date is within five business days prior to the filing of this Registration Statement. (3) Represents 4,000,000 additional shares of the Registrant's common stock that are or that may become issuable under the Registrant's 2020 Equity Incentive Plan.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(1) Pursuant to Rule 416(a) promulgated under the Securities Act, as amended (the "Securities Act"), this Registration Statement shall also cover any additional shares of common stock that become issuable under the Registrant's 2020 Equity Incentive Plan and 2011 Employee Stock Purchase Plan by reason of any stock dividend, stock split, recapitalization, or other similar transaction effected that results in an increase to the number of outstanding shares of the Registrant's common stock, as applicable. (2) Estimated pursuant to Rules 457(c) and 457(h) under the Securities Act, solely for the purposes of calculating the registration fee and based on the average of the high and low prices of the Registrant's common stock as reported on The Nasdaq Capital Market on August 5, 2026, which date is within five business days prior to the filing of this Registration Statement. (4) Represents 100,000 additional shares of the Registrant's common stock that are or that may become issuable under the Registrant's 2011 Employee Stock Purchase Plan.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7925/000143774920013240/acrx20200613_s8.htm" TargetMode="External"/><Relationship Id="rId3" Type="http://schemas.openxmlformats.org/officeDocument/2006/relationships/hyperlink" Target="http://www.sec.gov/Archives/edgar/data/1427925/000143774921020407/acrx20210817_s8.htm" TargetMode="External"/><Relationship Id="rId4" Type="http://schemas.openxmlformats.org/officeDocument/2006/relationships/hyperlink" Target="http://www.sec.gov/Archives/edgar/data/1427925/000143774923032902/acrx20231106_s8.htm" TargetMode="External"/><Relationship Id="rId5" Type="http://schemas.openxmlformats.org/officeDocument/2006/relationships/hyperlink" Target="http://www.sec.gov/Archives/edgar/data/1427925/000143774924026881/acrx20240805_s8.htm" TargetMode="External"/><Relationship Id="rId6" Type="http://schemas.openxmlformats.org/officeDocument/2006/relationships/hyperlink" Target="http://www.sec.gov/Archives/edgar/data/1427925/000143774925031985/acrx20251025_s8.htm" TargetMode="External"/><Relationship Id="rId7" Type="http://schemas.openxmlformats.org/officeDocument/2006/relationships/hyperlink" Target="http://www.sec.gov/ix?doc=/Archives/edgar/data/1427925/000143774926009387/acrx20251231_10k.htm" TargetMode="External"/><Relationship Id="rId8" Type="http://schemas.openxmlformats.org/officeDocument/2006/relationships/hyperlink" Target="http://www.sec.gov/ix?doc=/Archives/edgar/data/1427925/000143774926013895/acrx20260422_def14a.htm" TargetMode="External"/><Relationship Id="rId9" Type="http://schemas.openxmlformats.org/officeDocument/2006/relationships/hyperlink" Target="http://www.sec.gov/ix?doc=/Archives/edgar/data/1427925/000143774926008217/acrx20260313_8k.htm" TargetMode="External"/><Relationship Id="rId10" Type="http://schemas.openxmlformats.org/officeDocument/2006/relationships/hyperlink" Target="http://www.sec.gov/ix?doc=/Archives/edgar/data/1427925/000143774926008318/acrx20260316_8k.htm" TargetMode="External"/><Relationship Id="rId11" Type="http://schemas.openxmlformats.org/officeDocument/2006/relationships/hyperlink" Target="http://www.sec.gov/ix?doc=/Archives/edgar/data/1427925/000143774926021446/acrx20260622_8k.htm" TargetMode="External"/><Relationship Id="rId12" Type="http://schemas.openxmlformats.org/officeDocument/2006/relationships/hyperlink" Target="http://www.sec.gov/ix?doc=/Archives/edgar/data/1427925/000143774926016748/acrx20260331_10q.htm" TargetMode="External"/><Relationship Id="rId13" Type="http://schemas.openxmlformats.org/officeDocument/2006/relationships/hyperlink" Target="http://www.sec.gov/ix?doc=/Archives/edgar/data/1427925/000143774926027316/acrx20260630_10q.htm" TargetMode="External"/><Relationship Id="rId14" Type="http://schemas.openxmlformats.org/officeDocument/2006/relationships/hyperlink" Target="http://www.sec.gov/Archives/edgar/data/1427925/000119312511020168/d8a12b.htm" TargetMode="External"/><Relationship Id="rId15" Type="http://schemas.openxmlformats.org/officeDocument/2006/relationships/hyperlink" Target="http://www.sec.gov/Archives/edgar/data/1427925/000143774921006074/ex_232263.htm" TargetMode="External"/><Relationship Id="rId16" Type="http://schemas.openxmlformats.org/officeDocument/2006/relationships/hyperlink" Target="http://www.sec.gov/Archives/edgar/data/1427925/000119312511040233/dex31.htm" TargetMode="External"/><Relationship Id="rId17" Type="http://schemas.openxmlformats.org/officeDocument/2006/relationships/hyperlink" Target="http://www.sec.gov/Archives/edgar/data/1427925/000143774919012706/ex_148566.htm" TargetMode="External"/><Relationship Id="rId18" Type="http://schemas.openxmlformats.org/officeDocument/2006/relationships/hyperlink" Target="http://www.sec.gov/Archives/edgar/data/1427925/000143774922024708/ex_436724.htm" TargetMode="External"/><Relationship Id="rId19" Type="http://schemas.openxmlformats.org/officeDocument/2006/relationships/hyperlink" Target="http://www.sec.gov/Archives/edgar/data/1427925/000143774924000938/ex_613231.htm" TargetMode="External"/><Relationship Id="rId20" Type="http://schemas.openxmlformats.org/officeDocument/2006/relationships/hyperlink" Target="http://www.sec.gov/Archives/edgar/data/1427925/000143774924000938/ex_613232.htm" TargetMode="External"/><Relationship Id="rId21" Type="http://schemas.openxmlformats.org/officeDocument/2006/relationships/hyperlink" Target="http://www.sec.gov/Archives/edgar/data/1427925/000119312511019097/dex42.htm" TargetMode="External"/><Relationship Id="rId22" Type="http://schemas.openxmlformats.org/officeDocument/2006/relationships/hyperlink" Target="http://www.sec.gov/Archives/edgar/data/1427925/000143774926021446/ex_979677.htm" TargetMode="External"/><Relationship Id="rId23" Type="http://schemas.openxmlformats.org/officeDocument/2006/relationships/hyperlink" Target="http://www.sec.gov/Archives/edgar/data/1427925/000143774926021446/ex_979678.htm" TargetMode="External"/><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2647</Words>
  <Characters>14222</Characters>
  <CharactersWithSpaces>17003</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